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7CB3E">
      <w:pPr>
        <w:jc w:val="center"/>
        <w:rPr>
          <w:rFonts w:hint="eastAsia" w:cs="Times New Roman"/>
          <w:b/>
          <w:color w:val="000000"/>
          <w:kern w:val="0"/>
          <w:sz w:val="24"/>
          <w:lang w:eastAsia="zh-CN"/>
        </w:rPr>
      </w:pPr>
      <w:r>
        <w:rPr>
          <w:rFonts w:hint="eastAsia" w:cs="Times New Roman"/>
          <w:b/>
          <w:color w:val="000000"/>
          <w:kern w:val="0"/>
          <w:sz w:val="24"/>
          <w:lang w:eastAsia="zh-CN"/>
        </w:rPr>
        <w:t>江西铜业集团铜板带有限公司</w:t>
      </w:r>
    </w:p>
    <w:p w14:paraId="0518F146">
      <w:pPr>
        <w:jc w:val="center"/>
        <w:rPr>
          <w:rFonts w:hint="eastAsia" w:cs="Times New Roman"/>
          <w:b/>
          <w:color w:val="000000"/>
          <w:kern w:val="0"/>
          <w:sz w:val="24"/>
          <w:lang w:eastAsia="zh-CN"/>
        </w:rPr>
      </w:pPr>
      <w:r>
        <w:rPr>
          <w:rFonts w:hint="eastAsia" w:cs="Times New Roman"/>
          <w:b/>
          <w:color w:val="000000"/>
          <w:kern w:val="0"/>
          <w:sz w:val="24"/>
          <w:lang w:eastAsia="zh-CN"/>
        </w:rPr>
        <w:t>南昌高新区新能源用铜带扩建项目</w:t>
      </w:r>
    </w:p>
    <w:p w14:paraId="00A780EC">
      <w:pPr>
        <w:jc w:val="center"/>
        <w:rPr>
          <w:rFonts w:hint="eastAsia" w:ascii="Times New Roman" w:hAnsi="Times New Roman" w:cs="Times New Roman"/>
          <w:b/>
          <w:color w:val="000000"/>
          <w:kern w:val="0"/>
          <w:sz w:val="24"/>
        </w:rPr>
      </w:pPr>
      <w:r>
        <w:rPr>
          <w:rFonts w:hint="eastAsia" w:ascii="Times New Roman" w:hAnsi="Times New Roman" w:cs="Times New Roman"/>
          <w:b/>
          <w:color w:val="000000"/>
          <w:kern w:val="0"/>
          <w:sz w:val="24"/>
        </w:rPr>
        <w:t>职业病危害预评价报告公示</w:t>
      </w:r>
    </w:p>
    <w:tbl>
      <w:tblPr>
        <w:tblStyle w:val="13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235"/>
        <w:gridCol w:w="285"/>
        <w:gridCol w:w="748"/>
        <w:gridCol w:w="217"/>
        <w:gridCol w:w="1838"/>
        <w:gridCol w:w="563"/>
        <w:gridCol w:w="774"/>
        <w:gridCol w:w="133"/>
        <w:gridCol w:w="947"/>
      </w:tblGrid>
      <w:tr w14:paraId="19FD1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9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74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江西铜业集团铜板带有限公司南昌高新区新能源用铜带扩建项目</w:t>
            </w:r>
          </w:p>
        </w:tc>
      </w:tr>
      <w:tr w14:paraId="5B966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D8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6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ZPYKJ24-016</w:t>
            </w:r>
          </w:p>
        </w:tc>
      </w:tr>
      <w:tr w14:paraId="4C2E9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DE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EB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江西铜业集团铜板带有限公司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0E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地理位置</w:t>
            </w:r>
          </w:p>
        </w:tc>
        <w:tc>
          <w:tcPr>
            <w:tcW w:w="2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74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江西省南昌市青山湖区艾溪湖管理处高新大道979号江西铜业集团铜板带有限公司</w:t>
            </w: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F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BF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陈高峰</w:t>
            </w:r>
          </w:p>
        </w:tc>
      </w:tr>
      <w:tr w14:paraId="583D1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0E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 w:val="0"/>
                <w:kern w:val="0"/>
                <w:sz w:val="24"/>
              </w:rPr>
              <w:t>项目</w:t>
            </w:r>
            <w:r>
              <w:rPr>
                <w:rFonts w:hint="eastAsia" w:ascii="宋体" w:hAnsi="宋体"/>
                <w:b/>
                <w:bCs w:val="0"/>
                <w:sz w:val="24"/>
              </w:rPr>
              <w:t>简介</w:t>
            </w:r>
          </w:p>
        </w:tc>
        <w:tc>
          <w:tcPr>
            <w:tcW w:w="7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04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宋体" w:hAnsi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江西铜业集团铜板带有限公司成立于2009年04月28日，注册地位于江西省南昌市高新技术产业开发区江铜工业园，法定代表人为张旺。经营范围包括设计、研发、生产、销售各类铜及铜合金板带材；有色金属进料、销售；铜及铜合金边角料收购、加工、利用、销售；提供售后服务，咨询服务；自营和代理与本企业相关的商品和技术涉及的贸易及进出口业务。（依法须经批准的项目，经相关部门批准后方可开展经营活动） 一般项目：有色金属压延加工。（除依法须经批准的项目外，凭营业执照依法自主开展经营活动）。</w:t>
            </w:r>
          </w:p>
          <w:p w14:paraId="4C9C2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宋体" w:hAnsi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公司原有一期年产能2万吨铜板带，采用的是水平连铸生产铜合金板带。2021年挖潜改造产能扩产1万吨铜板带，采用更先进的上引连铸—连续挤压的工艺进行上引连铸生产铜合金板带，在南昌高新技术产业开发区管理委员会进行备案，项目名称：江西铜业集团铜板带有限公司扩产1万吨铜板带项目；统一项目代码：2020-360198-32-03-030741。江西铜业集团铜板带有限公司扩产1万吨铜板带项目已于2022年8月通过职业病防护设施竣工验收。</w:t>
            </w:r>
          </w:p>
          <w:p w14:paraId="27C91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江西铜业集团铜板带有限公司原有总产能为3万吨铜板带，主要产品为黄铜板带、青铜板带、紫铜板。本次扩建拟定在原有年产3万吨铜板带规模上，增加部分生产设施，扩产5000吨铜板带，使总产能达到3.5万吨/年的规模，扩建项目于2024年5月10日在南昌高新技术产业开发区管理委员会备案（项目代码：2404-360198-04-01-154294）。</w:t>
            </w:r>
          </w:p>
        </w:tc>
      </w:tr>
      <w:tr w14:paraId="69E96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35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60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李海海、熊俊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30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时间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76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2024年6月14日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55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85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陈高峰</w:t>
            </w:r>
          </w:p>
        </w:tc>
      </w:tr>
      <w:tr w14:paraId="030E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04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E0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69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B3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D7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08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</w:tr>
      <w:tr w14:paraId="40A22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71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0E10">
            <w:pPr>
              <w:pStyle w:val="2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80"/>
              <w:textAlignment w:val="auto"/>
              <w:rPr>
                <w:rFonts w:hint="eastAsia"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拟建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项目建成后运行过程中可能产生或存在的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主要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职业病危害因素有：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铜烟、硫酸、氢氧化钠、高温、工频电场、噪声。根据类比法及经验法可知，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本项目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各岗位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接触的职业病危害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因素危害程度基本可以得到有效控制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本项目关键控制点为：</w:t>
            </w:r>
          </w:p>
          <w:tbl>
            <w:tblPr>
              <w:tblStyle w:val="13"/>
              <w:tblW w:w="4998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26"/>
              <w:gridCol w:w="2682"/>
              <w:gridCol w:w="1671"/>
              <w:gridCol w:w="1832"/>
            </w:tblGrid>
            <w:tr w14:paraId="0B285EF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  <w:tblHeader/>
                <w:jc w:val="center"/>
              </w:trPr>
              <w:tc>
                <w:tcPr>
                  <w:tcW w:w="883" w:type="pct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0E4B87C7">
                  <w:pPr>
                    <w:pStyle w:val="18"/>
                    <w:bidi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评价单元</w:t>
                  </w:r>
                </w:p>
              </w:tc>
              <w:tc>
                <w:tcPr>
                  <w:tcW w:w="1785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10CF1DCD">
                  <w:pPr>
                    <w:pStyle w:val="18"/>
                    <w:bidi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关键控制的职业病危害因素</w:t>
                  </w:r>
                </w:p>
              </w:tc>
              <w:tc>
                <w:tcPr>
                  <w:tcW w:w="1112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6039601A">
                  <w:pPr>
                    <w:pStyle w:val="18"/>
                    <w:bidi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关键控制人群</w:t>
                  </w:r>
                </w:p>
              </w:tc>
              <w:tc>
                <w:tcPr>
                  <w:tcW w:w="1219" w:type="pct"/>
                  <w:noWrap w:val="0"/>
                  <w:vAlign w:val="center"/>
                </w:tcPr>
                <w:p w14:paraId="03A9B734">
                  <w:pPr>
                    <w:pStyle w:val="18"/>
                    <w:bidi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关键控制点</w:t>
                  </w:r>
                </w:p>
              </w:tc>
            </w:tr>
            <w:tr w14:paraId="3FC8B96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  <w:jc w:val="center"/>
              </w:trPr>
              <w:tc>
                <w:tcPr>
                  <w:tcW w:w="883" w:type="pct"/>
                  <w:vMerge w:val="restart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6026A0DB">
                  <w:pPr>
                    <w:pStyle w:val="18"/>
                    <w:bidi w:val="0"/>
                  </w:pPr>
                  <w:r>
                    <w:rPr>
                      <w:rFonts w:hint="eastAsia"/>
                    </w:rPr>
                    <w:t>连铸车间</w:t>
                  </w:r>
                </w:p>
              </w:tc>
              <w:tc>
                <w:tcPr>
                  <w:tcW w:w="1785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6F635D0A">
                  <w:pPr>
                    <w:pStyle w:val="18"/>
                    <w:bidi w:val="0"/>
                  </w:pPr>
                  <w:r>
                    <w:t>高温(WBGT指数)</w:t>
                  </w:r>
                </w:p>
              </w:tc>
              <w:tc>
                <w:tcPr>
                  <w:tcW w:w="1112" w:type="pct"/>
                  <w:vMerge w:val="restar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6A7D746F">
                  <w:pPr>
                    <w:pStyle w:val="18"/>
                    <w:bidi w:val="0"/>
                  </w:pPr>
                  <w:r>
                    <w:rPr>
                      <w:rFonts w:hint="eastAsia"/>
                    </w:rPr>
                    <w:t>熔铸工</w:t>
                  </w:r>
                </w:p>
              </w:tc>
              <w:tc>
                <w:tcPr>
                  <w:tcW w:w="1219" w:type="pct"/>
                  <w:vMerge w:val="restart"/>
                  <w:noWrap w:val="0"/>
                  <w:vAlign w:val="center"/>
                </w:tcPr>
                <w:p w14:paraId="067F3092">
                  <w:pPr>
                    <w:pStyle w:val="18"/>
                    <w:bidi w:val="0"/>
                  </w:pPr>
                  <w:r>
                    <w:rPr>
                      <w:rFonts w:hint="eastAsia"/>
                    </w:rPr>
                    <w:t>上引炉</w:t>
                  </w:r>
                </w:p>
              </w:tc>
            </w:tr>
            <w:tr w14:paraId="4EFC915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  <w:jc w:val="center"/>
              </w:trPr>
              <w:tc>
                <w:tcPr>
                  <w:tcW w:w="883" w:type="pct"/>
                  <w:vMerge w:val="continue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2BE2646D">
                  <w:pPr>
                    <w:pStyle w:val="18"/>
                    <w:bidi w:val="0"/>
                    <w:rPr>
                      <w:rFonts w:hint="eastAsia"/>
                    </w:rPr>
                  </w:pPr>
                </w:p>
              </w:tc>
              <w:tc>
                <w:tcPr>
                  <w:tcW w:w="1785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155487B0">
                  <w:pPr>
                    <w:pStyle w:val="18"/>
                    <w:bidi w:val="0"/>
                  </w:pPr>
                  <w:r>
                    <w:rPr>
                      <w:rFonts w:hint="eastAsia"/>
                    </w:rPr>
                    <w:t>铜烟</w:t>
                  </w:r>
                </w:p>
              </w:tc>
              <w:tc>
                <w:tcPr>
                  <w:tcW w:w="1112" w:type="pct"/>
                  <w:vMerge w:val="continue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0135D0D8">
                  <w:pPr>
                    <w:pStyle w:val="18"/>
                    <w:bidi w:val="0"/>
                    <w:rPr>
                      <w:rFonts w:hint="eastAsia"/>
                    </w:rPr>
                  </w:pPr>
                </w:p>
              </w:tc>
              <w:tc>
                <w:tcPr>
                  <w:tcW w:w="1219" w:type="pct"/>
                  <w:vMerge w:val="continue"/>
                  <w:noWrap w:val="0"/>
                  <w:vAlign w:val="center"/>
                </w:tcPr>
                <w:p w14:paraId="79D3908B">
                  <w:pPr>
                    <w:pStyle w:val="18"/>
                    <w:bidi w:val="0"/>
                    <w:rPr>
                      <w:rFonts w:hint="eastAsia"/>
                    </w:rPr>
                  </w:pPr>
                </w:p>
              </w:tc>
            </w:tr>
            <w:tr w14:paraId="438B3D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  <w:jc w:val="center"/>
              </w:trPr>
              <w:tc>
                <w:tcPr>
                  <w:tcW w:w="883" w:type="pct"/>
                  <w:vMerge w:val="continue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20B5D518">
                  <w:pPr>
                    <w:pStyle w:val="18"/>
                    <w:bidi w:val="0"/>
                    <w:rPr>
                      <w:rFonts w:hint="eastAsia"/>
                    </w:rPr>
                  </w:pPr>
                </w:p>
              </w:tc>
              <w:tc>
                <w:tcPr>
                  <w:tcW w:w="1785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41C89985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噪声</w:t>
                  </w:r>
                </w:p>
              </w:tc>
              <w:tc>
                <w:tcPr>
                  <w:tcW w:w="1112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039A943F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连续挤压工</w:t>
                  </w:r>
                </w:p>
              </w:tc>
              <w:tc>
                <w:tcPr>
                  <w:tcW w:w="1219" w:type="pct"/>
                  <w:noWrap w:val="0"/>
                  <w:vAlign w:val="center"/>
                </w:tcPr>
                <w:p w14:paraId="34250EBB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连续挤压机</w:t>
                  </w:r>
                </w:p>
              </w:tc>
            </w:tr>
            <w:tr w14:paraId="5E48DF7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  <w:jc w:val="center"/>
              </w:trPr>
              <w:tc>
                <w:tcPr>
                  <w:tcW w:w="883" w:type="pct"/>
                  <w:vMerge w:val="restart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08A0118E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冷轧车间</w:t>
                  </w:r>
                </w:p>
              </w:tc>
              <w:tc>
                <w:tcPr>
                  <w:tcW w:w="1785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63461E74">
                  <w:pPr>
                    <w:pStyle w:val="18"/>
                    <w:bidi w:val="0"/>
                  </w:pPr>
                  <w:r>
                    <w:t>高温(WBGT指数)</w:t>
                  </w:r>
                </w:p>
              </w:tc>
              <w:tc>
                <w:tcPr>
                  <w:tcW w:w="1112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2E397621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退火工</w:t>
                  </w:r>
                </w:p>
              </w:tc>
              <w:tc>
                <w:tcPr>
                  <w:tcW w:w="1219" w:type="pct"/>
                  <w:noWrap w:val="0"/>
                  <w:vAlign w:val="center"/>
                </w:tcPr>
                <w:p w14:paraId="6F5FFA2B">
                  <w:pPr>
                    <w:pStyle w:val="18"/>
                    <w:bidi w:val="0"/>
                  </w:pPr>
                  <w:r>
                    <w:rPr>
                      <w:rFonts w:hint="eastAsia"/>
                    </w:rPr>
                    <w:t>钟罩式光亮退火炉</w:t>
                  </w:r>
                </w:p>
              </w:tc>
            </w:tr>
            <w:tr w14:paraId="3673666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  <w:jc w:val="center"/>
              </w:trPr>
              <w:tc>
                <w:tcPr>
                  <w:tcW w:w="883" w:type="pct"/>
                  <w:vMerge w:val="continue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36223456">
                  <w:pPr>
                    <w:pStyle w:val="18"/>
                    <w:bidi w:val="0"/>
                    <w:rPr>
                      <w:rFonts w:hint="eastAsia"/>
                    </w:rPr>
                  </w:pPr>
                </w:p>
              </w:tc>
              <w:tc>
                <w:tcPr>
                  <w:tcW w:w="1785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3A6C42D3">
                  <w:pPr>
                    <w:pStyle w:val="18"/>
                    <w:bidi w:val="0"/>
                  </w:pPr>
                  <w:r>
                    <w:t>噪声</w:t>
                  </w:r>
                </w:p>
              </w:tc>
              <w:tc>
                <w:tcPr>
                  <w:tcW w:w="1112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34343698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铣面工</w:t>
                  </w:r>
                </w:p>
              </w:tc>
              <w:tc>
                <w:tcPr>
                  <w:tcW w:w="1219" w:type="pct"/>
                  <w:noWrap w:val="0"/>
                  <w:vAlign w:val="center"/>
                </w:tcPr>
                <w:p w14:paraId="02D59DEF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双面铣削机</w:t>
                  </w:r>
                </w:p>
              </w:tc>
            </w:tr>
            <w:tr w14:paraId="5474CD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  <w:jc w:val="center"/>
              </w:trPr>
              <w:tc>
                <w:tcPr>
                  <w:tcW w:w="883" w:type="pct"/>
                  <w:vMerge w:val="continue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4ADFD074">
                  <w:pPr>
                    <w:pStyle w:val="18"/>
                    <w:bidi w:val="0"/>
                    <w:rPr>
                      <w:rFonts w:hint="eastAsia"/>
                    </w:rPr>
                  </w:pPr>
                </w:p>
              </w:tc>
              <w:tc>
                <w:tcPr>
                  <w:tcW w:w="1785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3F78CA23">
                  <w:pPr>
                    <w:pStyle w:val="18"/>
                    <w:bidi w:val="0"/>
                  </w:pPr>
                  <w:r>
                    <w:t>噪声</w:t>
                  </w:r>
                </w:p>
              </w:tc>
              <w:tc>
                <w:tcPr>
                  <w:tcW w:w="1112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69AAE79F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粗中轧工</w:t>
                  </w:r>
                </w:p>
              </w:tc>
              <w:tc>
                <w:tcPr>
                  <w:tcW w:w="1219" w:type="pct"/>
                  <w:noWrap w:val="0"/>
                  <w:vAlign w:val="center"/>
                </w:tcPr>
                <w:p w14:paraId="77FCF0D6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铜带粗中轧机、四辊可逆中精轧机</w:t>
                  </w:r>
                </w:p>
              </w:tc>
            </w:tr>
            <w:tr w14:paraId="270AD7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  <w:jc w:val="center"/>
              </w:trPr>
              <w:tc>
                <w:tcPr>
                  <w:tcW w:w="883" w:type="pct"/>
                  <w:vMerge w:val="continue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1D8F87EB">
                  <w:pPr>
                    <w:pStyle w:val="18"/>
                    <w:bidi w:val="0"/>
                    <w:rPr>
                      <w:rFonts w:hint="eastAsia"/>
                    </w:rPr>
                  </w:pPr>
                </w:p>
              </w:tc>
              <w:tc>
                <w:tcPr>
                  <w:tcW w:w="1785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495F9131">
                  <w:pPr>
                    <w:pStyle w:val="18"/>
                    <w:bidi w:val="0"/>
                  </w:pPr>
                  <w:r>
                    <w:t>噪声</w:t>
                  </w:r>
                </w:p>
              </w:tc>
              <w:tc>
                <w:tcPr>
                  <w:tcW w:w="1112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389CDCBD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精轧工</w:t>
                  </w:r>
                </w:p>
              </w:tc>
              <w:tc>
                <w:tcPr>
                  <w:tcW w:w="1219" w:type="pct"/>
                  <w:noWrap w:val="0"/>
                  <w:vAlign w:val="center"/>
                </w:tcPr>
                <w:p w14:paraId="4BEF3595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精轧机</w:t>
                  </w:r>
                </w:p>
              </w:tc>
            </w:tr>
            <w:tr w14:paraId="6A5915C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  <w:jc w:val="center"/>
              </w:trPr>
              <w:tc>
                <w:tcPr>
                  <w:tcW w:w="883" w:type="pct"/>
                  <w:vMerge w:val="continue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3E4BA984">
                  <w:pPr>
                    <w:pStyle w:val="18"/>
                    <w:bidi w:val="0"/>
                    <w:rPr>
                      <w:rFonts w:hint="eastAsia"/>
                    </w:rPr>
                  </w:pPr>
                </w:p>
              </w:tc>
              <w:tc>
                <w:tcPr>
                  <w:tcW w:w="1785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000B9F0D">
                  <w:pPr>
                    <w:pStyle w:val="18"/>
                    <w:bidi w:val="0"/>
                  </w:pPr>
                  <w:r>
                    <w:t>硫酸</w:t>
                  </w:r>
                </w:p>
              </w:tc>
              <w:tc>
                <w:tcPr>
                  <w:tcW w:w="1112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7EC8144C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表面清洗工</w:t>
                  </w:r>
                </w:p>
              </w:tc>
              <w:tc>
                <w:tcPr>
                  <w:tcW w:w="1219" w:type="pct"/>
                  <w:noWrap w:val="0"/>
                  <w:vAlign w:val="center"/>
                </w:tcPr>
                <w:p w14:paraId="75DA5F83">
                  <w:pPr>
                    <w:pStyle w:val="18"/>
                    <w:bidi w:val="0"/>
                    <w:rPr>
                      <w:rFonts w:hint="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酸洗操作位</w:t>
                  </w:r>
                </w:p>
              </w:tc>
            </w:tr>
            <w:tr w14:paraId="606F01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  <w:jc w:val="center"/>
              </w:trPr>
              <w:tc>
                <w:tcPr>
                  <w:tcW w:w="883" w:type="pct"/>
                  <w:vMerge w:val="continue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2DD2729A">
                  <w:pPr>
                    <w:pStyle w:val="18"/>
                    <w:bidi w:val="0"/>
                    <w:rPr>
                      <w:rFonts w:hint="eastAsia"/>
                    </w:rPr>
                  </w:pPr>
                </w:p>
              </w:tc>
              <w:tc>
                <w:tcPr>
                  <w:tcW w:w="1785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703FA0BA">
                  <w:pPr>
                    <w:pStyle w:val="18"/>
                    <w:bidi w:val="0"/>
                  </w:pPr>
                  <w:r>
                    <w:rPr>
                      <w:rFonts w:hint="eastAsia"/>
                    </w:rPr>
                    <w:t>噪声</w:t>
                  </w:r>
                </w:p>
              </w:tc>
              <w:tc>
                <w:tcPr>
                  <w:tcW w:w="1112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520FEC96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拉弯矫直工</w:t>
                  </w:r>
                </w:p>
              </w:tc>
              <w:tc>
                <w:tcPr>
                  <w:tcW w:w="1219" w:type="pct"/>
                  <w:noWrap w:val="0"/>
                  <w:vAlign w:val="center"/>
                </w:tcPr>
                <w:p w14:paraId="0ECA4C1D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拉弯矫直机</w:t>
                  </w:r>
                </w:p>
              </w:tc>
            </w:tr>
            <w:tr w14:paraId="0992E8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9" w:hRule="atLeast"/>
                <w:jc w:val="center"/>
              </w:trPr>
              <w:tc>
                <w:tcPr>
                  <w:tcW w:w="883" w:type="pct"/>
                  <w:vMerge w:val="continue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 w14:paraId="743E2EEA">
                  <w:pPr>
                    <w:pStyle w:val="18"/>
                    <w:bidi w:val="0"/>
                    <w:rPr>
                      <w:rFonts w:hint="eastAsia"/>
                    </w:rPr>
                  </w:pPr>
                </w:p>
              </w:tc>
              <w:tc>
                <w:tcPr>
                  <w:tcW w:w="1785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27B30B38">
                  <w:pPr>
                    <w:pStyle w:val="18"/>
                    <w:bidi w:val="0"/>
                  </w:pPr>
                  <w:r>
                    <w:t>噪声</w:t>
                  </w:r>
                </w:p>
              </w:tc>
              <w:tc>
                <w:tcPr>
                  <w:tcW w:w="1112" w:type="pct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 w14:paraId="336EF585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剪切工</w:t>
                  </w:r>
                </w:p>
              </w:tc>
              <w:tc>
                <w:tcPr>
                  <w:tcW w:w="1219" w:type="pct"/>
                  <w:noWrap w:val="0"/>
                  <w:vAlign w:val="center"/>
                </w:tcPr>
                <w:p w14:paraId="262A09BC">
                  <w:pPr>
                    <w:pStyle w:val="18"/>
                    <w:bidi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剪切机</w:t>
                  </w:r>
                </w:p>
              </w:tc>
            </w:tr>
          </w:tbl>
          <w:p w14:paraId="2F60148A">
            <w:pPr>
              <w:pStyle w:val="2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80"/>
              <w:textAlignment w:val="auto"/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</w:pPr>
          </w:p>
        </w:tc>
      </w:tr>
      <w:tr w14:paraId="64D8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0A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D870F">
            <w:pPr>
              <w:pStyle w:val="2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80"/>
              <w:textAlignment w:val="auto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  <w:t>该拟建项目属于“C324有色金属合金制造、C325有色金属压延加工”，属“职业病危害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eastAsia="zh-CN"/>
              </w:rPr>
              <w:t>严重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  <w:t>”的项目。通过工程分析、经验分析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eastAsia="zh-CN"/>
              </w:rPr>
              <w:t>、类比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  <w:t>分析及对拟建项目职业病危害因素的综合分析与评价，确定该拟建项目在采取了本报告所提防护措施后，各主要接触职业病危害作业岗位的职业病危害因素预期浓度（强度）范围和接触水平能满足国家和地方对职业病防治方面法律、法规、标准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  <w:t>的要求。</w:t>
            </w:r>
          </w:p>
        </w:tc>
      </w:tr>
      <w:tr w14:paraId="6F81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32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5BC75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7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F2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对存在问题修改完善后经专家组确认后，建议《评价报告》通过评审。</w:t>
            </w:r>
          </w:p>
        </w:tc>
      </w:tr>
    </w:tbl>
    <w:p w14:paraId="7CD282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QxNTc3MDU2ZTU2NzU5MTZjZmM0MjVhOTdjMDE5NjYifQ=="/>
  </w:docVars>
  <w:rsids>
    <w:rsidRoot w:val="003B3E4B"/>
    <w:rsid w:val="000C0C54"/>
    <w:rsid w:val="001B4C6E"/>
    <w:rsid w:val="002137CE"/>
    <w:rsid w:val="00267723"/>
    <w:rsid w:val="002D6359"/>
    <w:rsid w:val="0036720B"/>
    <w:rsid w:val="003B3E4B"/>
    <w:rsid w:val="003C6F2B"/>
    <w:rsid w:val="00481067"/>
    <w:rsid w:val="004B1BB3"/>
    <w:rsid w:val="00595F9A"/>
    <w:rsid w:val="006324CB"/>
    <w:rsid w:val="00785F19"/>
    <w:rsid w:val="007E0A4D"/>
    <w:rsid w:val="00804B0A"/>
    <w:rsid w:val="008C17E3"/>
    <w:rsid w:val="008E04ED"/>
    <w:rsid w:val="00931E49"/>
    <w:rsid w:val="00A31BE6"/>
    <w:rsid w:val="00D95001"/>
    <w:rsid w:val="00E74D08"/>
    <w:rsid w:val="00F6182C"/>
    <w:rsid w:val="0138129F"/>
    <w:rsid w:val="02D06E54"/>
    <w:rsid w:val="07317033"/>
    <w:rsid w:val="07DC3E9A"/>
    <w:rsid w:val="10497F5C"/>
    <w:rsid w:val="10B5330B"/>
    <w:rsid w:val="1BBC66D3"/>
    <w:rsid w:val="1DEC5DD0"/>
    <w:rsid w:val="209549B2"/>
    <w:rsid w:val="21B73DAB"/>
    <w:rsid w:val="22047891"/>
    <w:rsid w:val="2288631C"/>
    <w:rsid w:val="24622EE3"/>
    <w:rsid w:val="29135144"/>
    <w:rsid w:val="2C415F37"/>
    <w:rsid w:val="2DF171A1"/>
    <w:rsid w:val="2E103562"/>
    <w:rsid w:val="2EA030FE"/>
    <w:rsid w:val="300D20E3"/>
    <w:rsid w:val="36E1667E"/>
    <w:rsid w:val="38F831EA"/>
    <w:rsid w:val="39FD0BBC"/>
    <w:rsid w:val="3BE12872"/>
    <w:rsid w:val="3C7278A4"/>
    <w:rsid w:val="4A973AA3"/>
    <w:rsid w:val="4B665A18"/>
    <w:rsid w:val="4C565741"/>
    <w:rsid w:val="4C943432"/>
    <w:rsid w:val="4EDE6FDC"/>
    <w:rsid w:val="5517144A"/>
    <w:rsid w:val="55AF53C9"/>
    <w:rsid w:val="59E357BF"/>
    <w:rsid w:val="61F666AD"/>
    <w:rsid w:val="643031FF"/>
    <w:rsid w:val="65641D69"/>
    <w:rsid w:val="6D1D15AD"/>
    <w:rsid w:val="73FC784B"/>
    <w:rsid w:val="75936216"/>
    <w:rsid w:val="75E33EDA"/>
    <w:rsid w:val="7700476F"/>
    <w:rsid w:val="7788146B"/>
    <w:rsid w:val="783B67AC"/>
    <w:rsid w:val="79A81354"/>
    <w:rsid w:val="7AE52B8D"/>
    <w:rsid w:val="7B7B4FA4"/>
    <w:rsid w:val="7CB12249"/>
    <w:rsid w:val="7CF11A09"/>
    <w:rsid w:val="7EFC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490" w:lineRule="exact"/>
    </w:pPr>
    <w:rPr>
      <w:rFonts w:hint="eastAsia" w:ascii="Times New Roman" w:hAnsi="Times New Roman" w:eastAsia="仿宋_GB2312" w:cs="Times New Roman"/>
      <w:color w:val="000000"/>
      <w:sz w:val="28"/>
      <w:szCs w:val="22"/>
    </w:rPr>
  </w:style>
  <w:style w:type="paragraph" w:customStyle="1" w:styleId="3">
    <w:name w:val="批注文字1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4">
    <w:name w:val="Body Text First Indent 2"/>
    <w:basedOn w:val="5"/>
    <w:next w:val="6"/>
    <w:qFormat/>
    <w:uiPriority w:val="0"/>
    <w:pPr>
      <w:spacing w:after="120" w:line="240" w:lineRule="auto"/>
      <w:ind w:left="420" w:leftChars="200" w:firstLine="420"/>
      <w:textAlignment w:val="auto"/>
    </w:pPr>
    <w:rPr>
      <w:rFonts w:eastAsia="宋体"/>
      <w:sz w:val="21"/>
    </w:rPr>
  </w:style>
  <w:style w:type="paragraph" w:styleId="5">
    <w:name w:val="Body Text Indent"/>
    <w:basedOn w:val="1"/>
    <w:qFormat/>
    <w:uiPriority w:val="0"/>
    <w:pPr>
      <w:ind w:firstLine="539"/>
    </w:pPr>
    <w:rPr>
      <w:rFonts w:ascii="华文中宋" w:hAnsi="华文中宋" w:eastAsia="华文中宋"/>
      <w:sz w:val="28"/>
    </w:rPr>
  </w:style>
  <w:style w:type="paragraph" w:styleId="6">
    <w:name w:val="Body Text First Indent"/>
    <w:basedOn w:val="7"/>
    <w:qFormat/>
    <w:uiPriority w:val="0"/>
    <w:pPr>
      <w:tabs>
        <w:tab w:val="left" w:pos="4344"/>
      </w:tabs>
      <w:ind w:firstLine="100" w:firstLineChars="100"/>
    </w:pPr>
  </w:style>
  <w:style w:type="paragraph" w:styleId="7">
    <w:name w:val="Body Text"/>
    <w:basedOn w:val="1"/>
    <w:next w:val="1"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8">
    <w:name w:val="annotation text"/>
    <w:basedOn w:val="1"/>
    <w:autoRedefine/>
    <w:qFormat/>
    <w:uiPriority w:val="0"/>
    <w:pPr>
      <w:jc w:val="left"/>
    </w:pPr>
    <w:rPr>
      <w:kern w:val="0"/>
      <w:sz w:val="20"/>
    </w:rPr>
  </w:style>
  <w:style w:type="paragraph" w:styleId="9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10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header"/>
    <w:basedOn w:val="1"/>
    <w:link w:val="2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表格内容国标仿宋5号"/>
    <w:next w:val="1"/>
    <w:qFormat/>
    <w:uiPriority w:val="0"/>
    <w:pPr>
      <w:wordWrap w:val="0"/>
      <w:overflowPunct w:val="0"/>
      <w:spacing w:line="280" w:lineRule="exact"/>
      <w:jc w:val="center"/>
    </w:pPr>
    <w:rPr>
      <w:rFonts w:ascii="Times New Roman" w:hAnsi="Times New Roman" w:eastAsia="仿宋_GB2312" w:cs="Times New Roman"/>
      <w:sz w:val="21"/>
      <w:szCs w:val="21"/>
      <w:lang w:val="en-US" w:eastAsia="zh-CN" w:bidi="ar-SA"/>
    </w:rPr>
  </w:style>
  <w:style w:type="paragraph" w:customStyle="1" w:styleId="17">
    <w:name w:val="表格内容国标仿宋五号"/>
    <w:next w:val="1"/>
    <w:qFormat/>
    <w:uiPriority w:val="0"/>
    <w:pPr>
      <w:wordWrap w:val="0"/>
      <w:overflowPunct w:val="0"/>
      <w:spacing w:line="280" w:lineRule="exact"/>
      <w:jc w:val="center"/>
    </w:pPr>
    <w:rPr>
      <w:rFonts w:ascii="Times New Roman" w:hAnsi="Times New Roman" w:eastAsia="仿宋_GB2312" w:cs="Times New Roman"/>
      <w:sz w:val="21"/>
      <w:szCs w:val="21"/>
      <w:lang w:val="en-US" w:eastAsia="zh-CN" w:bidi="ar-SA"/>
    </w:rPr>
  </w:style>
  <w:style w:type="paragraph" w:customStyle="1" w:styleId="18">
    <w:name w:val="表格内容仿宋五号李"/>
    <w:basedOn w:val="1"/>
    <w:next w:val="1"/>
    <w:qFormat/>
    <w:uiPriority w:val="0"/>
    <w:pPr>
      <w:spacing w:line="280" w:lineRule="exact"/>
      <w:jc w:val="center"/>
    </w:pPr>
    <w:rPr>
      <w:rFonts w:ascii="Times New Roman" w:hAnsi="Times New Roman" w:cstheme="minorBidi"/>
      <w:kern w:val="2"/>
      <w:sz w:val="21"/>
      <w:szCs w:val="24"/>
    </w:rPr>
  </w:style>
  <w:style w:type="paragraph" w:customStyle="1" w:styleId="19">
    <w:name w:val="正文空2李"/>
    <w:basedOn w:val="1"/>
    <w:next w:val="1"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  <w:style w:type="character" w:customStyle="1" w:styleId="20">
    <w:name w:val="页眉 Char"/>
    <w:basedOn w:val="15"/>
    <w:link w:val="11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5"/>
    <w:link w:val="10"/>
    <w:semiHidden/>
    <w:qFormat/>
    <w:uiPriority w:val="99"/>
    <w:rPr>
      <w:sz w:val="18"/>
      <w:szCs w:val="18"/>
    </w:rPr>
  </w:style>
  <w:style w:type="paragraph" w:customStyle="1" w:styleId="22">
    <w:name w:val="样式 宋体 四号 黑色 行距: 1.5 倍行距"/>
    <w:basedOn w:val="1"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23">
    <w:name w:val="ZH正文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24">
    <w:name w:val="YYC Char"/>
    <w:basedOn w:val="15"/>
    <w:link w:val="25"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25">
    <w:name w:val="YYC"/>
    <w:basedOn w:val="1"/>
    <w:link w:val="24"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26">
    <w:name w:val="报告书正文2"/>
    <w:basedOn w:val="1"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1257</Words>
  <Characters>1349</Characters>
  <Lines>6</Lines>
  <Paragraphs>1</Paragraphs>
  <TotalTime>0</TotalTime>
  <ScaleCrop>false</ScaleCrop>
  <LinksUpToDate>false</LinksUpToDate>
  <CharactersWithSpaces>1349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浅忆︿梦微凉</cp:lastModifiedBy>
  <dcterms:modified xsi:type="dcterms:W3CDTF">2024-07-29T01:15:33Z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85A911D117684D5087E3BF7A786EAEBC</vt:lpwstr>
  </property>
</Properties>
</file>