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2C9DB7F">
      <w:pPr>
        <w:spacing w:line="300" w:lineRule="exact"/>
        <w:jc w:val="center"/>
        <w:rPr>
          <w:rFonts w:ascii="宋体" w:hAnsi="宋体"/>
          <w:b/>
          <w:sz w:val="28"/>
          <w:szCs w:val="28"/>
        </w:rPr>
      </w:pPr>
      <w:r>
        <w:rPr>
          <w:rFonts w:hint="eastAsia" w:ascii="宋体" w:hAnsi="宋体" w:cs="仿宋"/>
          <w:b/>
          <w:sz w:val="28"/>
          <w:szCs w:val="28"/>
          <w:lang w:eastAsia="zh-CN"/>
        </w:rPr>
        <w:t>江西省港口集团有限公司宜春港樟树港区河西作业区综合码头工程项目</w:t>
      </w:r>
      <w:r>
        <w:rPr>
          <w:rFonts w:hint="eastAsia" w:ascii="宋体" w:hAnsi="宋体" w:cs="仿宋"/>
          <w:b/>
          <w:sz w:val="28"/>
          <w:szCs w:val="28"/>
        </w:rPr>
        <w:t>职业病危害控制效果评价报告</w:t>
      </w:r>
      <w:r>
        <w:rPr>
          <w:rFonts w:hint="eastAsia" w:ascii="宋体" w:hAnsi="宋体"/>
          <w:b/>
          <w:sz w:val="28"/>
          <w:szCs w:val="28"/>
        </w:rPr>
        <w:t>公示</w:t>
      </w:r>
    </w:p>
    <w:tbl>
      <w:tblPr>
        <w:tblStyle w:val="7"/>
        <w:tblW w:w="9180" w:type="dxa"/>
        <w:tblInd w:w="-25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440"/>
        <w:gridCol w:w="2340"/>
        <w:gridCol w:w="180"/>
        <w:gridCol w:w="523"/>
        <w:gridCol w:w="2357"/>
        <w:gridCol w:w="388"/>
        <w:gridCol w:w="872"/>
        <w:gridCol w:w="133"/>
        <w:gridCol w:w="947"/>
      </w:tblGrid>
      <w:tr w14:paraId="58AC24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2" w:hRule="atLeast"/>
        </w:trPr>
        <w:tc>
          <w:tcPr>
            <w:tcW w:w="1440" w:type="dxa"/>
            <w:tcBorders>
              <w:top w:val="single" w:color="auto" w:sz="4" w:space="0"/>
              <w:left w:val="single" w:color="auto" w:sz="4" w:space="0"/>
              <w:bottom w:val="single" w:color="auto" w:sz="4" w:space="0"/>
              <w:right w:val="single" w:color="auto" w:sz="4" w:space="0"/>
            </w:tcBorders>
            <w:vAlign w:val="center"/>
          </w:tcPr>
          <w:p w14:paraId="7EE61AFA">
            <w:pPr>
              <w:jc w:val="center"/>
              <w:rPr>
                <w:b/>
                <w:color w:val="000000"/>
                <w:kern w:val="0"/>
                <w:sz w:val="24"/>
              </w:rPr>
            </w:pPr>
            <w:r>
              <w:rPr>
                <w:rFonts w:hint="eastAsia"/>
                <w:b/>
                <w:color w:val="000000"/>
                <w:kern w:val="0"/>
                <w:sz w:val="24"/>
              </w:rPr>
              <w:t>项目名称</w:t>
            </w:r>
          </w:p>
        </w:tc>
        <w:tc>
          <w:tcPr>
            <w:tcW w:w="7740" w:type="dxa"/>
            <w:gridSpan w:val="8"/>
            <w:tcBorders>
              <w:top w:val="single" w:color="auto" w:sz="4" w:space="0"/>
              <w:left w:val="single" w:color="auto" w:sz="4" w:space="0"/>
              <w:bottom w:val="single" w:color="auto" w:sz="4" w:space="0"/>
              <w:right w:val="single" w:color="auto" w:sz="4" w:space="0"/>
            </w:tcBorders>
            <w:vAlign w:val="center"/>
          </w:tcPr>
          <w:p w14:paraId="0B1091C9">
            <w:pPr>
              <w:spacing w:line="300" w:lineRule="exact"/>
              <w:jc w:val="center"/>
              <w:rPr>
                <w:rFonts w:ascii="宋体" w:hAnsi="宋体"/>
                <w:sz w:val="24"/>
              </w:rPr>
            </w:pPr>
            <w:r>
              <w:rPr>
                <w:rFonts w:hint="eastAsia" w:ascii="宋体" w:hAnsi="宋体"/>
                <w:sz w:val="24"/>
                <w:lang w:eastAsia="zh-CN"/>
              </w:rPr>
              <w:t>江西省港口集团有限公司宜春港樟树港区河西作业区综合码头工程项目</w:t>
            </w:r>
            <w:r>
              <w:rPr>
                <w:rFonts w:hint="eastAsia" w:ascii="宋体" w:hAnsi="宋体"/>
                <w:sz w:val="24"/>
              </w:rPr>
              <w:t>职业病危害控制效果评价报告</w:t>
            </w:r>
          </w:p>
        </w:tc>
      </w:tr>
      <w:tr w14:paraId="52674C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5" w:hRule="atLeast"/>
        </w:trPr>
        <w:tc>
          <w:tcPr>
            <w:tcW w:w="1440" w:type="dxa"/>
            <w:tcBorders>
              <w:top w:val="single" w:color="auto" w:sz="4" w:space="0"/>
              <w:left w:val="single" w:color="auto" w:sz="4" w:space="0"/>
              <w:bottom w:val="single" w:color="auto" w:sz="4" w:space="0"/>
              <w:right w:val="single" w:color="auto" w:sz="4" w:space="0"/>
            </w:tcBorders>
            <w:vAlign w:val="center"/>
          </w:tcPr>
          <w:p w14:paraId="21897656">
            <w:pPr>
              <w:jc w:val="center"/>
              <w:rPr>
                <w:b/>
                <w:color w:val="000000"/>
                <w:kern w:val="0"/>
                <w:sz w:val="24"/>
              </w:rPr>
            </w:pPr>
            <w:r>
              <w:rPr>
                <w:rFonts w:hint="eastAsia"/>
                <w:b/>
                <w:color w:val="000000"/>
                <w:kern w:val="0"/>
                <w:sz w:val="24"/>
              </w:rPr>
              <w:t>报告书编号</w:t>
            </w:r>
          </w:p>
        </w:tc>
        <w:tc>
          <w:tcPr>
            <w:tcW w:w="7740" w:type="dxa"/>
            <w:gridSpan w:val="8"/>
            <w:tcBorders>
              <w:top w:val="single" w:color="auto" w:sz="4" w:space="0"/>
              <w:left w:val="single" w:color="auto" w:sz="4" w:space="0"/>
              <w:bottom w:val="single" w:color="auto" w:sz="4" w:space="0"/>
              <w:right w:val="single" w:color="auto" w:sz="4" w:space="0"/>
            </w:tcBorders>
            <w:vAlign w:val="center"/>
          </w:tcPr>
          <w:p w14:paraId="6116919C">
            <w:pPr>
              <w:jc w:val="center"/>
              <w:rPr>
                <w:rFonts w:hint="eastAsia" w:ascii="宋体" w:hAnsi="宋体" w:eastAsia="宋体"/>
                <w:sz w:val="24"/>
                <w:lang w:eastAsia="zh-CN"/>
              </w:rPr>
            </w:pPr>
            <w:r>
              <w:rPr>
                <w:rFonts w:hint="eastAsia" w:ascii="宋体" w:hAnsi="宋体"/>
                <w:sz w:val="24"/>
                <w:lang w:eastAsia="zh-CN"/>
              </w:rPr>
              <w:t>ZPKKJ23-058</w:t>
            </w:r>
          </w:p>
        </w:tc>
      </w:tr>
      <w:tr w14:paraId="330D59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40" w:type="dxa"/>
            <w:tcBorders>
              <w:top w:val="single" w:color="auto" w:sz="4" w:space="0"/>
              <w:left w:val="single" w:color="auto" w:sz="4" w:space="0"/>
              <w:bottom w:val="single" w:color="auto" w:sz="4" w:space="0"/>
              <w:right w:val="single" w:color="auto" w:sz="4" w:space="0"/>
            </w:tcBorders>
            <w:vAlign w:val="center"/>
          </w:tcPr>
          <w:p w14:paraId="64C05996">
            <w:pPr>
              <w:jc w:val="center"/>
              <w:rPr>
                <w:b/>
                <w:color w:val="000000"/>
                <w:kern w:val="0"/>
                <w:sz w:val="24"/>
              </w:rPr>
            </w:pPr>
            <w:r>
              <w:rPr>
                <w:rFonts w:hint="eastAsia"/>
                <w:b/>
                <w:color w:val="000000"/>
                <w:kern w:val="0"/>
                <w:sz w:val="24"/>
              </w:rPr>
              <w:t>建设单位</w:t>
            </w:r>
          </w:p>
        </w:tc>
        <w:tc>
          <w:tcPr>
            <w:tcW w:w="2340" w:type="dxa"/>
            <w:tcBorders>
              <w:top w:val="single" w:color="auto" w:sz="4" w:space="0"/>
              <w:left w:val="single" w:color="auto" w:sz="4" w:space="0"/>
              <w:bottom w:val="single" w:color="auto" w:sz="4" w:space="0"/>
              <w:right w:val="single" w:color="auto" w:sz="4" w:space="0"/>
            </w:tcBorders>
            <w:vAlign w:val="center"/>
          </w:tcPr>
          <w:p w14:paraId="0F30A94C">
            <w:pPr>
              <w:jc w:val="center"/>
              <w:rPr>
                <w:rFonts w:hint="eastAsia" w:ascii="宋体" w:hAnsi="宋体" w:eastAsia="宋体"/>
                <w:sz w:val="24"/>
                <w:lang w:eastAsia="zh-CN"/>
              </w:rPr>
            </w:pPr>
            <w:r>
              <w:rPr>
                <w:rFonts w:hint="eastAsia" w:ascii="宋体" w:hAnsi="宋体"/>
                <w:sz w:val="24"/>
                <w:lang w:eastAsia="zh-CN"/>
              </w:rPr>
              <w:t>江西省港口集团有限公司</w:t>
            </w:r>
          </w:p>
        </w:tc>
        <w:tc>
          <w:tcPr>
            <w:tcW w:w="703" w:type="dxa"/>
            <w:gridSpan w:val="2"/>
            <w:tcBorders>
              <w:top w:val="single" w:color="auto" w:sz="4" w:space="0"/>
              <w:left w:val="single" w:color="auto" w:sz="4" w:space="0"/>
              <w:bottom w:val="single" w:color="auto" w:sz="4" w:space="0"/>
              <w:right w:val="single" w:color="auto" w:sz="4" w:space="0"/>
            </w:tcBorders>
            <w:vAlign w:val="center"/>
          </w:tcPr>
          <w:p w14:paraId="44F739F4">
            <w:pPr>
              <w:jc w:val="center"/>
              <w:rPr>
                <w:rFonts w:ascii="宋体" w:hAnsi="宋体"/>
                <w:sz w:val="24"/>
              </w:rPr>
            </w:pPr>
            <w:r>
              <w:rPr>
                <w:rFonts w:hint="eastAsia" w:ascii="宋体" w:hAnsi="宋体"/>
                <w:sz w:val="24"/>
              </w:rPr>
              <w:t>地理位置</w:t>
            </w:r>
          </w:p>
        </w:tc>
        <w:tc>
          <w:tcPr>
            <w:tcW w:w="2745" w:type="dxa"/>
            <w:gridSpan w:val="2"/>
            <w:tcBorders>
              <w:top w:val="single" w:color="auto" w:sz="4" w:space="0"/>
              <w:left w:val="single" w:color="auto" w:sz="4" w:space="0"/>
              <w:bottom w:val="single" w:color="auto" w:sz="4" w:space="0"/>
              <w:right w:val="single" w:color="auto" w:sz="4" w:space="0"/>
            </w:tcBorders>
            <w:vAlign w:val="center"/>
          </w:tcPr>
          <w:p w14:paraId="041B03DA">
            <w:pPr>
              <w:jc w:val="center"/>
              <w:rPr>
                <w:rFonts w:hint="eastAsia" w:ascii="宋体" w:hAnsi="宋体" w:eastAsia="宋体"/>
                <w:sz w:val="24"/>
                <w:lang w:eastAsia="zh-CN"/>
              </w:rPr>
            </w:pPr>
            <w:r>
              <w:rPr>
                <w:rFonts w:hint="eastAsia" w:ascii="宋体" w:hAnsi="宋体"/>
                <w:sz w:val="24"/>
                <w:lang w:eastAsia="zh-CN"/>
              </w:rPr>
              <w:t>江西省樟树市袁河与赣江交汇处下游，西汊支左岸</w:t>
            </w:r>
          </w:p>
        </w:tc>
        <w:tc>
          <w:tcPr>
            <w:tcW w:w="1005" w:type="dxa"/>
            <w:gridSpan w:val="2"/>
            <w:tcBorders>
              <w:top w:val="single" w:color="auto" w:sz="4" w:space="0"/>
              <w:left w:val="single" w:color="auto" w:sz="4" w:space="0"/>
              <w:bottom w:val="single" w:color="auto" w:sz="4" w:space="0"/>
              <w:right w:val="single" w:color="auto" w:sz="4" w:space="0"/>
            </w:tcBorders>
            <w:vAlign w:val="center"/>
          </w:tcPr>
          <w:p w14:paraId="7D25263E">
            <w:pPr>
              <w:jc w:val="center"/>
              <w:rPr>
                <w:rFonts w:ascii="宋体" w:hAnsi="宋体"/>
                <w:sz w:val="24"/>
              </w:rPr>
            </w:pPr>
            <w:r>
              <w:rPr>
                <w:rFonts w:hint="eastAsia" w:ascii="宋体" w:hAnsi="宋体"/>
                <w:sz w:val="24"/>
              </w:rPr>
              <w:t>联系人</w:t>
            </w:r>
          </w:p>
        </w:tc>
        <w:tc>
          <w:tcPr>
            <w:tcW w:w="947" w:type="dxa"/>
            <w:tcBorders>
              <w:top w:val="single" w:color="auto" w:sz="4" w:space="0"/>
              <w:left w:val="single" w:color="auto" w:sz="4" w:space="0"/>
              <w:bottom w:val="single" w:color="auto" w:sz="4" w:space="0"/>
              <w:right w:val="single" w:color="auto" w:sz="4" w:space="0"/>
            </w:tcBorders>
            <w:vAlign w:val="center"/>
          </w:tcPr>
          <w:p w14:paraId="68E32796">
            <w:pPr>
              <w:jc w:val="center"/>
              <w:rPr>
                <w:rFonts w:hint="eastAsia" w:ascii="宋体" w:hAnsi="宋体" w:eastAsia="宋体"/>
                <w:sz w:val="24"/>
                <w:lang w:eastAsia="zh-CN"/>
              </w:rPr>
            </w:pPr>
            <w:r>
              <w:rPr>
                <w:rFonts w:hint="eastAsia" w:ascii="宋体" w:hAnsi="宋体"/>
                <w:sz w:val="24"/>
                <w:lang w:eastAsia="zh-CN"/>
              </w:rPr>
              <w:t>万根生</w:t>
            </w:r>
          </w:p>
        </w:tc>
      </w:tr>
      <w:tr w14:paraId="260AC9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1440" w:type="dxa"/>
            <w:tcBorders>
              <w:top w:val="single" w:color="auto" w:sz="4" w:space="0"/>
              <w:left w:val="single" w:color="auto" w:sz="4" w:space="0"/>
              <w:bottom w:val="single" w:color="auto" w:sz="4" w:space="0"/>
              <w:right w:val="single" w:color="auto" w:sz="4" w:space="0"/>
            </w:tcBorders>
            <w:vAlign w:val="center"/>
          </w:tcPr>
          <w:p w14:paraId="798650BD">
            <w:pPr>
              <w:jc w:val="center"/>
              <w:rPr>
                <w:color w:val="000000"/>
                <w:kern w:val="0"/>
                <w:sz w:val="24"/>
              </w:rPr>
            </w:pPr>
            <w:r>
              <w:rPr>
                <w:rFonts w:hint="eastAsia"/>
                <w:b/>
                <w:kern w:val="0"/>
                <w:sz w:val="24"/>
              </w:rPr>
              <w:t>项目简介</w:t>
            </w:r>
          </w:p>
        </w:tc>
        <w:tc>
          <w:tcPr>
            <w:tcW w:w="7740" w:type="dxa"/>
            <w:gridSpan w:val="8"/>
            <w:tcBorders>
              <w:top w:val="single" w:color="auto" w:sz="4" w:space="0"/>
              <w:left w:val="single" w:color="auto" w:sz="4" w:space="0"/>
              <w:bottom w:val="single" w:color="auto" w:sz="4" w:space="0"/>
              <w:right w:val="single" w:color="auto" w:sz="4" w:space="0"/>
            </w:tcBorders>
            <w:vAlign w:val="center"/>
          </w:tcPr>
          <w:p w14:paraId="38F6E1E3">
            <w:pPr>
              <w:widowControl/>
              <w:adjustRightInd w:val="0"/>
              <w:snapToGrid w:val="0"/>
              <w:spacing w:line="490" w:lineRule="exact"/>
              <w:ind w:firstLine="480" w:firstLineChars="200"/>
              <w:jc w:val="both"/>
              <w:rPr>
                <w:rFonts w:hint="eastAsia" w:ascii="宋体" w:hAnsi="宋体"/>
                <w:sz w:val="24"/>
                <w:lang w:eastAsia="zh-CN"/>
              </w:rPr>
            </w:pPr>
            <w:r>
              <w:rPr>
                <w:rFonts w:hint="eastAsia" w:ascii="宋体" w:hAnsi="宋体"/>
                <w:sz w:val="24"/>
                <w:lang w:eastAsia="zh-CN"/>
              </w:rPr>
              <w:t>樟树市位于江西省中部，鄱阳湖平原南缘，跨赣江中游两岸。原名清江县，1988年12月撤县建市。全市总面积1291平方公里，城市面积32平方公里，建成区面积18平方公里，市区人口23万。现辖10个镇、4个乡、5个街道办事处。樟树市地处江西“大十字架”生产力布局的天心地胆之位，自古就是“八省通衢”、“四会要冲”的水陆交通要塞，现代化立体交通更使她成了左右逢源、南北融合的交接点。京九铁路、浙赣铁路、沪昆高速、赣粤高速公路在境内交汇。</w:t>
            </w:r>
          </w:p>
          <w:p w14:paraId="410F1085">
            <w:pPr>
              <w:widowControl/>
              <w:adjustRightInd w:val="0"/>
              <w:snapToGrid w:val="0"/>
              <w:spacing w:line="490" w:lineRule="exact"/>
              <w:ind w:firstLine="480" w:firstLineChars="200"/>
              <w:jc w:val="both"/>
              <w:rPr>
                <w:rFonts w:hint="eastAsia" w:ascii="宋体" w:hAnsi="宋体"/>
                <w:sz w:val="24"/>
                <w:lang w:eastAsia="zh-CN"/>
              </w:rPr>
            </w:pPr>
            <w:r>
              <w:rPr>
                <w:rFonts w:hint="eastAsia" w:ascii="宋体" w:hAnsi="宋体"/>
                <w:sz w:val="24"/>
                <w:lang w:eastAsia="zh-CN"/>
              </w:rPr>
              <w:t>樟树港区位于赣江中游，赣、袁二水汇流口下游，赣江黄金水道中分樟树市，航道与抚、信、饶、修四大河流及鄱阳湖相通，经九江湖口入长江，与上海、营口、厦门、深圳、防城港等沿海地区可开展江海联运，逆长江而上可直达重庆、乐山，常年可通航千吨级船舶，具有极为优越的水运优势。</w:t>
            </w:r>
          </w:p>
          <w:p w14:paraId="2206839B">
            <w:pPr>
              <w:widowControl/>
              <w:adjustRightInd w:val="0"/>
              <w:snapToGrid w:val="0"/>
              <w:spacing w:line="490" w:lineRule="exact"/>
              <w:ind w:firstLine="480" w:firstLineChars="200"/>
              <w:jc w:val="both"/>
              <w:rPr>
                <w:rFonts w:hint="eastAsia" w:ascii="宋体" w:hAnsi="宋体"/>
                <w:sz w:val="24"/>
                <w:lang w:eastAsia="zh-CN"/>
              </w:rPr>
            </w:pPr>
            <w:r>
              <w:rPr>
                <w:rFonts w:hint="eastAsia" w:ascii="宋体" w:hAnsi="宋体"/>
                <w:sz w:val="24"/>
                <w:lang w:eastAsia="zh-CN"/>
              </w:rPr>
              <w:t>樟树港区为江西省区域性重要港口之一。樟树市境内4500年以前就有繁荣的城邑。樟树市自秦始皇二十六年（公元前221年）历经秦、两汉、三国、两晋、隋六朝达810余年。五代南唐昇元二年（938）八月，建清江县，县治设萧滩镇（宋改临江镇），曾为四县治城，先后分属始平县、汉平县、清江县的县治。1949年在樟树镇建立清江县人民政府。1988年撤县设市。清江以其经济繁荣，人文昌盛，军事要塞而名冠华夏，历为上县。樟树镇曾为江西四大名镇之一。唐朝年间，樟树市就初步形成了祖国南方的一个重要药材集散中心。清代发展为粤、桂、浙、闽、湘、鄂、苏、皖之间及八省和赣相互贸易的货运中心。水上运输历来是樟树市对外物资交流的重要运输方式，并且赣州、吉安、新余、宜春等地区的物资流通，大都要在这里中转，所以樟树港区很自然地成为了江西中部物资运输的枢纽。</w:t>
            </w:r>
          </w:p>
          <w:p w14:paraId="464563B0">
            <w:pPr>
              <w:widowControl/>
              <w:adjustRightInd w:val="0"/>
              <w:snapToGrid w:val="0"/>
              <w:spacing w:line="490" w:lineRule="exact"/>
              <w:ind w:firstLine="480" w:firstLineChars="200"/>
              <w:jc w:val="both"/>
              <w:rPr>
                <w:rFonts w:hint="eastAsia" w:ascii="宋体" w:hAnsi="宋体"/>
                <w:sz w:val="24"/>
                <w:lang w:eastAsia="zh-CN"/>
              </w:rPr>
            </w:pPr>
            <w:r>
              <w:rPr>
                <w:rFonts w:hint="eastAsia" w:ascii="宋体" w:hAnsi="宋体"/>
                <w:sz w:val="24"/>
                <w:lang w:eastAsia="zh-CN"/>
              </w:rPr>
              <w:t>樟树港区是宜春港重要的港区和区域综合运输枢纽的重要组成部分，是樟树市及周边地区城市建设、经济发展、产业布局、资源开发的重要依托。樟树港区将发展成为以能源、原材料及产成品和矿建材料运输为主。具备装卸储存、中转换装、运输组织、临港开发等功能的综合性港口。</w:t>
            </w:r>
          </w:p>
          <w:p w14:paraId="7A5D1691">
            <w:pPr>
              <w:widowControl/>
              <w:adjustRightInd w:val="0"/>
              <w:snapToGrid w:val="0"/>
              <w:spacing w:line="490" w:lineRule="exact"/>
              <w:ind w:firstLine="480" w:firstLineChars="200"/>
              <w:jc w:val="both"/>
              <w:rPr>
                <w:rFonts w:hint="eastAsia" w:ascii="宋体" w:hAnsi="宋体"/>
                <w:sz w:val="24"/>
                <w:lang w:eastAsia="zh-CN"/>
              </w:rPr>
            </w:pPr>
            <w:r>
              <w:rPr>
                <w:rFonts w:hint="eastAsia" w:ascii="宋体" w:hAnsi="宋体"/>
                <w:sz w:val="24"/>
                <w:lang w:eastAsia="zh-CN"/>
              </w:rPr>
              <w:t>赣江中上游地区的物资流通，大都要在樟树港区中转，所以宜春港樟树港区很自然地形成了江西中部物资运输的枢纽。自2014年开始，樟树港区河东作业区得到迅速发展，随着樟树市水运口岸作业区、中国物流樟树港河东港区五码头改扩建工程的陆续开工和完成，樟树港区河东作业区布局基本完成。樟树港区河东作业区毗邻城区，主要以运输服装、医药、食盐、粮食、金属家具、工业原材料、瓷砖、钢材、化肥等货物为主。樟树港区河西作业区综合码头主要辐射地域包括樟树市工业园区、高安陶瓷产业基地、新余钢铁产业等，这些企业产能大，例如新余钢铁集团有限公司2017年全年公司完成生铁868.87万吨、钢855.26万吨、钢材坯801.97万吨的产能。江西萍钢实业股份有限公司，公司2017年钢铁产量为1040万吨，已跃上千万吨级平台。高安的陶瓷基地2017年年总产值425亿元左右，产量达全国的四分之一，每年货运流将达到6000万吨以上。樟树港区河西作业区综合码头的建设迫在眉睫，河西作业区综合码头的发展无疑成为这些大宗货物集散的首选，不仅响应国家运输结构调整的要求，还能为企业节约物流成本，提高生产效率。</w:t>
            </w:r>
          </w:p>
          <w:p w14:paraId="72B2063E">
            <w:pPr>
              <w:widowControl/>
              <w:adjustRightInd w:val="0"/>
              <w:snapToGrid w:val="0"/>
              <w:spacing w:line="490" w:lineRule="exact"/>
              <w:ind w:firstLine="480" w:firstLineChars="200"/>
              <w:jc w:val="both"/>
              <w:rPr>
                <w:rFonts w:hint="eastAsia" w:ascii="宋体" w:hAnsi="宋体"/>
                <w:sz w:val="24"/>
                <w:lang w:eastAsia="zh-CN"/>
              </w:rPr>
            </w:pPr>
            <w:r>
              <w:rPr>
                <w:rFonts w:hint="eastAsia" w:ascii="宋体" w:hAnsi="宋体"/>
                <w:sz w:val="24"/>
                <w:lang w:eastAsia="zh-CN"/>
              </w:rPr>
              <w:t>随着赣江梯级枢纽陆陆续续的建成，为水运的航道水深提供了保障。赣江的最后一个梯级水电站——龙头山水电枢纽位于江西省丰城市剑邑大桥下游2.9公里，大坝上游最高通航水位25.58米，最低通航水位22.3米，工程已于2015年开始建设，预期2020年竣工。随着该枢纽的建设完成，赣江航道南昌以上将提升到Ⅲ级航道、南昌以下提升到Ⅱ级航道，2020年赣江全线可常年通航1000t级船舶，南昌以下可常年通航2000t级船舶。航道建设的完善，为水路运输大宗货物带来了可能性。</w:t>
            </w:r>
          </w:p>
          <w:p w14:paraId="3CEF68B6">
            <w:pPr>
              <w:widowControl/>
              <w:adjustRightInd w:val="0"/>
              <w:snapToGrid w:val="0"/>
              <w:spacing w:line="490" w:lineRule="exact"/>
              <w:ind w:firstLine="480" w:firstLineChars="200"/>
              <w:jc w:val="both"/>
              <w:rPr>
                <w:rFonts w:ascii="仿宋" w:hAnsi="仿宋" w:eastAsia="仿宋_GB2312"/>
                <w:sz w:val="28"/>
                <w:szCs w:val="28"/>
              </w:rPr>
            </w:pPr>
            <w:r>
              <w:rPr>
                <w:rFonts w:hint="eastAsia" w:ascii="宋体" w:hAnsi="宋体"/>
                <w:sz w:val="24"/>
                <w:lang w:eastAsia="zh-CN"/>
              </w:rPr>
              <w:t>该项目自运行以来，根据《中华人民共和国职业病防治法》、《建设项目职业病防护设施“三同时”监督管理办法》(国家安监总局令第90号)的相关要求，为预防、控制和消除职业病危害、保护劳动者健康，为劳动者创造符合国家职业接触限值和卫生要求的工作环境，江西省港口集团有限公司委托我公司对该项目进行职业病危害控制效果评价，并编写《江西省港口集团有限公司江西省港口集团有限公司宜春港樟树港区河西作业区综合码头工程项目职业病危害控制效果评价报告》。</w:t>
            </w:r>
          </w:p>
        </w:tc>
      </w:tr>
      <w:tr w14:paraId="4CBD58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75" w:hRule="atLeast"/>
        </w:trPr>
        <w:tc>
          <w:tcPr>
            <w:tcW w:w="1440" w:type="dxa"/>
            <w:tcBorders>
              <w:top w:val="single" w:color="auto" w:sz="4" w:space="0"/>
              <w:left w:val="single" w:color="auto" w:sz="4" w:space="0"/>
              <w:bottom w:val="single" w:color="auto" w:sz="4" w:space="0"/>
              <w:right w:val="single" w:color="auto" w:sz="4" w:space="0"/>
            </w:tcBorders>
            <w:vAlign w:val="center"/>
          </w:tcPr>
          <w:p w14:paraId="70E04ACC">
            <w:pPr>
              <w:jc w:val="center"/>
              <w:rPr>
                <w:b/>
                <w:color w:val="000000"/>
                <w:kern w:val="0"/>
                <w:sz w:val="24"/>
              </w:rPr>
            </w:pPr>
            <w:r>
              <w:rPr>
                <w:rFonts w:hint="eastAsia"/>
                <w:b/>
                <w:kern w:val="0"/>
                <w:sz w:val="24"/>
              </w:rPr>
              <w:t>现场调查人员</w:t>
            </w:r>
          </w:p>
        </w:tc>
        <w:tc>
          <w:tcPr>
            <w:tcW w:w="2520" w:type="dxa"/>
            <w:gridSpan w:val="2"/>
            <w:tcBorders>
              <w:top w:val="single" w:color="auto" w:sz="4" w:space="0"/>
              <w:left w:val="single" w:color="auto" w:sz="4" w:space="0"/>
              <w:bottom w:val="single" w:color="auto" w:sz="4" w:space="0"/>
              <w:right w:val="single" w:color="auto" w:sz="4" w:space="0"/>
            </w:tcBorders>
            <w:vAlign w:val="center"/>
          </w:tcPr>
          <w:p w14:paraId="30F369B6">
            <w:pPr>
              <w:jc w:val="center"/>
              <w:rPr>
                <w:rFonts w:hint="eastAsia" w:ascii="宋体" w:hAnsi="宋体" w:eastAsia="宋体"/>
                <w:sz w:val="24"/>
                <w:lang w:eastAsia="zh-CN"/>
              </w:rPr>
            </w:pPr>
            <w:r>
              <w:rPr>
                <w:rFonts w:hint="eastAsia" w:ascii="宋体" w:hAnsi="宋体"/>
                <w:sz w:val="24"/>
                <w:lang w:eastAsia="zh-CN"/>
              </w:rPr>
              <w:t>杨烨</w:t>
            </w:r>
            <w:r>
              <w:rPr>
                <w:rFonts w:hint="eastAsia" w:ascii="宋体" w:hAnsi="宋体"/>
                <w:sz w:val="24"/>
              </w:rPr>
              <w:t>、</w:t>
            </w:r>
            <w:r>
              <w:rPr>
                <w:rFonts w:hint="eastAsia" w:ascii="宋体" w:hAnsi="宋体"/>
                <w:sz w:val="24"/>
                <w:lang w:eastAsia="zh-CN"/>
              </w:rPr>
              <w:t>熊俊</w:t>
            </w:r>
          </w:p>
        </w:tc>
        <w:tc>
          <w:tcPr>
            <w:tcW w:w="523" w:type="dxa"/>
            <w:tcBorders>
              <w:top w:val="single" w:color="auto" w:sz="4" w:space="0"/>
              <w:left w:val="single" w:color="auto" w:sz="4" w:space="0"/>
              <w:bottom w:val="single" w:color="auto" w:sz="4" w:space="0"/>
              <w:right w:val="single" w:color="auto" w:sz="4" w:space="0"/>
            </w:tcBorders>
            <w:vAlign w:val="center"/>
          </w:tcPr>
          <w:p w14:paraId="4674FD73">
            <w:pPr>
              <w:jc w:val="center"/>
              <w:rPr>
                <w:b/>
                <w:color w:val="000000"/>
                <w:kern w:val="0"/>
                <w:sz w:val="24"/>
              </w:rPr>
            </w:pPr>
            <w:r>
              <w:rPr>
                <w:rFonts w:hint="eastAsia"/>
                <w:b/>
                <w:color w:val="000000"/>
                <w:kern w:val="0"/>
                <w:sz w:val="24"/>
              </w:rPr>
              <w:t>时间</w:t>
            </w:r>
          </w:p>
        </w:tc>
        <w:tc>
          <w:tcPr>
            <w:tcW w:w="2357" w:type="dxa"/>
            <w:tcBorders>
              <w:top w:val="single" w:color="auto" w:sz="4" w:space="0"/>
              <w:left w:val="single" w:color="auto" w:sz="4" w:space="0"/>
              <w:bottom w:val="single" w:color="auto" w:sz="4" w:space="0"/>
              <w:right w:val="single" w:color="auto" w:sz="4" w:space="0"/>
            </w:tcBorders>
            <w:vAlign w:val="center"/>
          </w:tcPr>
          <w:p w14:paraId="10E926BF">
            <w:pPr>
              <w:jc w:val="center"/>
              <w:rPr>
                <w:rFonts w:ascii="宋体" w:hAnsi="宋体"/>
                <w:sz w:val="24"/>
              </w:rPr>
            </w:pPr>
            <w:r>
              <w:rPr>
                <w:rFonts w:hint="eastAsia" w:ascii="宋体" w:hAnsi="宋体"/>
                <w:sz w:val="24"/>
              </w:rPr>
              <w:t>20</w:t>
            </w:r>
            <w:r>
              <w:rPr>
                <w:rFonts w:hint="eastAsia" w:ascii="宋体" w:hAnsi="宋体"/>
                <w:sz w:val="24"/>
                <w:lang w:val="en-US" w:eastAsia="zh-CN"/>
              </w:rPr>
              <w:t>24</w:t>
            </w:r>
            <w:r>
              <w:rPr>
                <w:rFonts w:hint="eastAsia" w:ascii="宋体" w:hAnsi="宋体"/>
                <w:sz w:val="24"/>
              </w:rPr>
              <w:t>年</w:t>
            </w:r>
            <w:r>
              <w:rPr>
                <w:rFonts w:hint="eastAsia" w:ascii="宋体" w:hAnsi="宋体"/>
                <w:sz w:val="24"/>
                <w:lang w:val="en-US" w:eastAsia="zh-CN"/>
              </w:rPr>
              <w:t>4</w:t>
            </w:r>
            <w:r>
              <w:rPr>
                <w:rFonts w:hint="eastAsia" w:ascii="宋体" w:hAnsi="宋体"/>
                <w:sz w:val="24"/>
              </w:rPr>
              <w:t>月</w:t>
            </w:r>
            <w:r>
              <w:rPr>
                <w:rFonts w:hint="eastAsia" w:ascii="宋体" w:hAnsi="宋体"/>
                <w:sz w:val="24"/>
                <w:lang w:val="en-US" w:eastAsia="zh-CN"/>
              </w:rPr>
              <w:t>21</w:t>
            </w:r>
            <w:r>
              <w:rPr>
                <w:rFonts w:hint="eastAsia" w:ascii="宋体" w:hAnsi="宋体"/>
                <w:sz w:val="24"/>
              </w:rPr>
              <w:t>日</w:t>
            </w:r>
          </w:p>
        </w:tc>
        <w:tc>
          <w:tcPr>
            <w:tcW w:w="1260" w:type="dxa"/>
            <w:gridSpan w:val="2"/>
            <w:tcBorders>
              <w:top w:val="single" w:color="auto" w:sz="4" w:space="0"/>
              <w:left w:val="single" w:color="auto" w:sz="4" w:space="0"/>
              <w:bottom w:val="single" w:color="auto" w:sz="4" w:space="0"/>
              <w:right w:val="single" w:color="auto" w:sz="4" w:space="0"/>
            </w:tcBorders>
            <w:vAlign w:val="center"/>
          </w:tcPr>
          <w:p w14:paraId="10F9A1EC">
            <w:pPr>
              <w:jc w:val="center"/>
              <w:rPr>
                <w:b/>
                <w:color w:val="000000"/>
                <w:kern w:val="0"/>
                <w:sz w:val="24"/>
              </w:rPr>
            </w:pPr>
            <w:r>
              <w:rPr>
                <w:rFonts w:hint="eastAsia"/>
                <w:b/>
                <w:color w:val="000000"/>
                <w:kern w:val="0"/>
                <w:sz w:val="24"/>
              </w:rPr>
              <w:t>建设单位陪同人</w:t>
            </w:r>
          </w:p>
        </w:tc>
        <w:tc>
          <w:tcPr>
            <w:tcW w:w="1080" w:type="dxa"/>
            <w:gridSpan w:val="2"/>
            <w:tcBorders>
              <w:top w:val="single" w:color="auto" w:sz="4" w:space="0"/>
              <w:left w:val="single" w:color="auto" w:sz="4" w:space="0"/>
              <w:bottom w:val="single" w:color="auto" w:sz="4" w:space="0"/>
              <w:right w:val="single" w:color="auto" w:sz="4" w:space="0"/>
            </w:tcBorders>
            <w:vAlign w:val="center"/>
          </w:tcPr>
          <w:p w14:paraId="351798F7">
            <w:pPr>
              <w:jc w:val="center"/>
              <w:rPr>
                <w:rFonts w:hint="eastAsia" w:ascii="宋体" w:hAnsi="宋体" w:eastAsia="宋体"/>
                <w:sz w:val="24"/>
                <w:lang w:eastAsia="zh-CN"/>
              </w:rPr>
            </w:pPr>
            <w:r>
              <w:rPr>
                <w:rFonts w:hint="eastAsia" w:ascii="宋体" w:hAnsi="宋体"/>
                <w:sz w:val="24"/>
                <w:lang w:eastAsia="zh-CN"/>
              </w:rPr>
              <w:t>万根生</w:t>
            </w:r>
          </w:p>
        </w:tc>
      </w:tr>
      <w:tr w14:paraId="1C2B19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6" w:hRule="atLeast"/>
        </w:trPr>
        <w:tc>
          <w:tcPr>
            <w:tcW w:w="1440" w:type="dxa"/>
            <w:tcBorders>
              <w:top w:val="single" w:color="auto" w:sz="4" w:space="0"/>
              <w:left w:val="single" w:color="auto" w:sz="4" w:space="0"/>
              <w:bottom w:val="single" w:color="auto" w:sz="4" w:space="0"/>
              <w:right w:val="single" w:color="auto" w:sz="4" w:space="0"/>
            </w:tcBorders>
            <w:vAlign w:val="center"/>
          </w:tcPr>
          <w:p w14:paraId="61DF9C9B">
            <w:pPr>
              <w:jc w:val="center"/>
              <w:rPr>
                <w:b/>
                <w:kern w:val="0"/>
                <w:sz w:val="24"/>
              </w:rPr>
            </w:pPr>
            <w:r>
              <w:rPr>
                <w:rFonts w:hint="eastAsia"/>
                <w:b/>
                <w:color w:val="333333"/>
                <w:kern w:val="0"/>
                <w:sz w:val="24"/>
              </w:rPr>
              <w:t>现场</w:t>
            </w:r>
            <w:r>
              <w:rPr>
                <w:rFonts w:hint="eastAsia"/>
                <w:b/>
                <w:kern w:val="0"/>
                <w:sz w:val="24"/>
              </w:rPr>
              <w:t>采样、检测人员</w:t>
            </w:r>
          </w:p>
        </w:tc>
        <w:tc>
          <w:tcPr>
            <w:tcW w:w="2520" w:type="dxa"/>
            <w:gridSpan w:val="2"/>
            <w:tcBorders>
              <w:top w:val="single" w:color="auto" w:sz="4" w:space="0"/>
              <w:left w:val="single" w:color="auto" w:sz="4" w:space="0"/>
              <w:bottom w:val="single" w:color="auto" w:sz="4" w:space="0"/>
              <w:right w:val="single" w:color="auto" w:sz="4" w:space="0"/>
            </w:tcBorders>
            <w:vAlign w:val="center"/>
          </w:tcPr>
          <w:p w14:paraId="33A95257">
            <w:pPr>
              <w:jc w:val="center"/>
              <w:rPr>
                <w:rFonts w:hint="eastAsia" w:ascii="宋体" w:hAnsi="宋体" w:eastAsia="宋体"/>
                <w:sz w:val="24"/>
                <w:lang w:eastAsia="zh-CN"/>
              </w:rPr>
            </w:pPr>
            <w:r>
              <w:rPr>
                <w:rFonts w:hint="eastAsia" w:ascii="宋体" w:hAnsi="宋体"/>
                <w:sz w:val="24"/>
                <w:lang w:eastAsia="zh-CN"/>
              </w:rPr>
              <w:t>邬仕杰、熊瑞</w:t>
            </w:r>
          </w:p>
        </w:tc>
        <w:tc>
          <w:tcPr>
            <w:tcW w:w="523" w:type="dxa"/>
            <w:tcBorders>
              <w:top w:val="single" w:color="auto" w:sz="4" w:space="0"/>
              <w:left w:val="single" w:color="auto" w:sz="4" w:space="0"/>
              <w:bottom w:val="single" w:color="auto" w:sz="4" w:space="0"/>
              <w:right w:val="single" w:color="auto" w:sz="4" w:space="0"/>
            </w:tcBorders>
            <w:vAlign w:val="center"/>
          </w:tcPr>
          <w:p w14:paraId="3F278E34">
            <w:pPr>
              <w:jc w:val="center"/>
              <w:rPr>
                <w:b/>
                <w:color w:val="000000"/>
                <w:kern w:val="0"/>
                <w:sz w:val="24"/>
              </w:rPr>
            </w:pPr>
            <w:r>
              <w:rPr>
                <w:rFonts w:hint="eastAsia"/>
                <w:b/>
                <w:color w:val="000000"/>
                <w:kern w:val="0"/>
                <w:sz w:val="24"/>
              </w:rPr>
              <w:t>时间</w:t>
            </w:r>
          </w:p>
        </w:tc>
        <w:tc>
          <w:tcPr>
            <w:tcW w:w="2357" w:type="dxa"/>
            <w:tcBorders>
              <w:top w:val="single" w:color="auto" w:sz="4" w:space="0"/>
              <w:left w:val="single" w:color="auto" w:sz="4" w:space="0"/>
              <w:bottom w:val="single" w:color="auto" w:sz="4" w:space="0"/>
              <w:right w:val="single" w:color="auto" w:sz="4" w:space="0"/>
            </w:tcBorders>
            <w:vAlign w:val="center"/>
          </w:tcPr>
          <w:p w14:paraId="6A2802B1">
            <w:pPr>
              <w:jc w:val="center"/>
              <w:rPr>
                <w:rFonts w:hint="eastAsia" w:ascii="宋体" w:hAnsi="宋体" w:eastAsia="宋体"/>
                <w:sz w:val="24"/>
                <w:lang w:val="en-US" w:eastAsia="zh-CN"/>
              </w:rPr>
            </w:pPr>
            <w:r>
              <w:rPr>
                <w:rFonts w:hint="eastAsia" w:ascii="宋体" w:hAnsi="宋体"/>
                <w:sz w:val="24"/>
              </w:rPr>
              <w:t>20</w:t>
            </w:r>
            <w:r>
              <w:rPr>
                <w:rFonts w:hint="eastAsia" w:ascii="宋体" w:hAnsi="宋体"/>
                <w:sz w:val="24"/>
                <w:lang w:val="en-US" w:eastAsia="zh-CN"/>
              </w:rPr>
              <w:t>24</w:t>
            </w:r>
            <w:r>
              <w:rPr>
                <w:rFonts w:hint="eastAsia" w:ascii="宋体" w:hAnsi="宋体"/>
                <w:sz w:val="24"/>
              </w:rPr>
              <w:t>年</w:t>
            </w:r>
            <w:r>
              <w:rPr>
                <w:rFonts w:hint="eastAsia" w:ascii="宋体" w:hAnsi="宋体"/>
                <w:sz w:val="24"/>
                <w:lang w:val="en-US" w:eastAsia="zh-CN"/>
              </w:rPr>
              <w:t>5</w:t>
            </w:r>
            <w:r>
              <w:rPr>
                <w:rFonts w:hint="eastAsia" w:ascii="宋体" w:hAnsi="宋体"/>
                <w:sz w:val="24"/>
              </w:rPr>
              <w:t>月</w:t>
            </w:r>
            <w:r>
              <w:rPr>
                <w:rFonts w:hint="eastAsia" w:ascii="宋体" w:hAnsi="宋体"/>
                <w:sz w:val="24"/>
                <w:lang w:val="en-US" w:eastAsia="zh-CN"/>
              </w:rPr>
              <w:t>8</w:t>
            </w:r>
            <w:r>
              <w:rPr>
                <w:rFonts w:hint="eastAsia" w:ascii="宋体" w:hAnsi="宋体"/>
                <w:sz w:val="24"/>
              </w:rPr>
              <w:t>日</w:t>
            </w:r>
            <w:r>
              <w:rPr>
                <w:rFonts w:hint="eastAsia" w:ascii="宋体" w:hAnsi="宋体"/>
                <w:sz w:val="24"/>
                <w:lang w:val="en-US" w:eastAsia="zh-CN"/>
              </w:rPr>
              <w:t>-5</w:t>
            </w:r>
            <w:r>
              <w:rPr>
                <w:rFonts w:hint="eastAsia" w:ascii="宋体" w:hAnsi="宋体"/>
                <w:sz w:val="24"/>
              </w:rPr>
              <w:t>月</w:t>
            </w:r>
            <w:r>
              <w:rPr>
                <w:rFonts w:hint="eastAsia" w:ascii="宋体" w:hAnsi="宋体"/>
                <w:sz w:val="24"/>
                <w:lang w:val="en-US" w:eastAsia="zh-CN"/>
              </w:rPr>
              <w:t>10</w:t>
            </w:r>
            <w:r>
              <w:rPr>
                <w:rFonts w:hint="eastAsia" w:ascii="宋体" w:hAnsi="宋体"/>
                <w:sz w:val="24"/>
              </w:rPr>
              <w:t>日</w:t>
            </w:r>
          </w:p>
        </w:tc>
        <w:tc>
          <w:tcPr>
            <w:tcW w:w="1260" w:type="dxa"/>
            <w:gridSpan w:val="2"/>
            <w:tcBorders>
              <w:top w:val="single" w:color="auto" w:sz="4" w:space="0"/>
              <w:left w:val="single" w:color="auto" w:sz="4" w:space="0"/>
              <w:bottom w:val="single" w:color="auto" w:sz="4" w:space="0"/>
              <w:right w:val="single" w:color="auto" w:sz="4" w:space="0"/>
            </w:tcBorders>
            <w:vAlign w:val="center"/>
          </w:tcPr>
          <w:p w14:paraId="344E305F">
            <w:pPr>
              <w:jc w:val="center"/>
              <w:rPr>
                <w:b/>
                <w:color w:val="000000"/>
                <w:kern w:val="0"/>
                <w:sz w:val="24"/>
              </w:rPr>
            </w:pPr>
            <w:r>
              <w:rPr>
                <w:rFonts w:hint="eastAsia"/>
                <w:b/>
                <w:color w:val="000000"/>
                <w:kern w:val="0"/>
                <w:sz w:val="24"/>
              </w:rPr>
              <w:t>建设单位陪同人</w:t>
            </w:r>
          </w:p>
        </w:tc>
        <w:tc>
          <w:tcPr>
            <w:tcW w:w="1080" w:type="dxa"/>
            <w:gridSpan w:val="2"/>
            <w:tcBorders>
              <w:top w:val="single" w:color="auto" w:sz="4" w:space="0"/>
              <w:left w:val="single" w:color="auto" w:sz="4" w:space="0"/>
              <w:bottom w:val="single" w:color="auto" w:sz="4" w:space="0"/>
              <w:right w:val="single" w:color="auto" w:sz="4" w:space="0"/>
            </w:tcBorders>
            <w:vAlign w:val="center"/>
          </w:tcPr>
          <w:p w14:paraId="0ABD3961">
            <w:pPr>
              <w:jc w:val="center"/>
              <w:rPr>
                <w:rFonts w:hint="eastAsia" w:ascii="宋体" w:hAnsi="宋体" w:eastAsia="宋体"/>
                <w:sz w:val="24"/>
                <w:lang w:eastAsia="zh-CN"/>
              </w:rPr>
            </w:pPr>
            <w:r>
              <w:rPr>
                <w:rFonts w:hint="eastAsia" w:ascii="宋体" w:hAnsi="宋体"/>
                <w:sz w:val="24"/>
                <w:lang w:eastAsia="zh-CN"/>
              </w:rPr>
              <w:t>万根生</w:t>
            </w:r>
          </w:p>
        </w:tc>
      </w:tr>
      <w:tr w14:paraId="3C148E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4" w:hRule="atLeast"/>
        </w:trPr>
        <w:tc>
          <w:tcPr>
            <w:tcW w:w="1440" w:type="dxa"/>
            <w:tcBorders>
              <w:top w:val="single" w:color="auto" w:sz="4" w:space="0"/>
              <w:left w:val="single" w:color="auto" w:sz="4" w:space="0"/>
              <w:bottom w:val="single" w:color="auto" w:sz="4" w:space="0"/>
              <w:right w:val="single" w:color="auto" w:sz="4" w:space="0"/>
            </w:tcBorders>
            <w:vAlign w:val="center"/>
          </w:tcPr>
          <w:p w14:paraId="078EC823">
            <w:pPr>
              <w:jc w:val="center"/>
              <w:rPr>
                <w:b/>
                <w:kern w:val="0"/>
                <w:sz w:val="24"/>
              </w:rPr>
            </w:pPr>
            <w:r>
              <w:rPr>
                <w:rFonts w:hint="eastAsia"/>
                <w:b/>
                <w:kern w:val="0"/>
                <w:sz w:val="24"/>
              </w:rPr>
              <w:t>建设项目存在的职业病危害因素及检测结果</w:t>
            </w:r>
          </w:p>
        </w:tc>
        <w:tc>
          <w:tcPr>
            <w:tcW w:w="7740" w:type="dxa"/>
            <w:gridSpan w:val="8"/>
            <w:tcBorders>
              <w:top w:val="single" w:color="auto" w:sz="4" w:space="0"/>
              <w:left w:val="single" w:color="auto" w:sz="4" w:space="0"/>
              <w:bottom w:val="single" w:color="auto" w:sz="4" w:space="0"/>
              <w:right w:val="single" w:color="auto" w:sz="4" w:space="0"/>
            </w:tcBorders>
            <w:vAlign w:val="center"/>
          </w:tcPr>
          <w:p w14:paraId="7C87252A">
            <w:pPr>
              <w:widowControl/>
              <w:adjustRightInd w:val="0"/>
              <w:snapToGrid w:val="0"/>
              <w:spacing w:line="490" w:lineRule="exact"/>
              <w:jc w:val="both"/>
              <w:rPr>
                <w:rFonts w:hint="eastAsia" w:ascii="宋体" w:hAnsi="宋体" w:eastAsia="宋体" w:cs="Times New Roman"/>
                <w:sz w:val="24"/>
                <w:lang w:eastAsia="zh-CN"/>
              </w:rPr>
            </w:pPr>
            <w:r>
              <w:rPr>
                <w:rFonts w:hint="eastAsia" w:ascii="宋体" w:hAnsi="宋体" w:eastAsia="宋体" w:cs="Times New Roman"/>
                <w:sz w:val="24"/>
                <w:lang w:eastAsia="zh-CN"/>
              </w:rPr>
              <w:t>主要职业病危害因素有：噪声、煤尘、矽尘、谷物粉尘、高温（夏季）。</w:t>
            </w:r>
          </w:p>
          <w:p w14:paraId="1952E654">
            <w:pPr>
              <w:widowControl/>
              <w:adjustRightInd w:val="0"/>
              <w:snapToGrid w:val="0"/>
              <w:spacing w:line="490" w:lineRule="exact"/>
              <w:jc w:val="both"/>
              <w:rPr>
                <w:rFonts w:ascii="宋体" w:hAnsi="宋体"/>
                <w:sz w:val="24"/>
              </w:rPr>
            </w:pPr>
            <w:r>
              <w:rPr>
                <w:rFonts w:hint="eastAsia" w:ascii="宋体" w:hAnsi="宋体" w:eastAsia="宋体" w:cs="Times New Roman"/>
                <w:sz w:val="24"/>
                <w:lang w:eastAsia="zh-CN"/>
              </w:rPr>
              <w:t>检测结果：</w:t>
            </w:r>
            <w:r>
              <w:rPr>
                <w:rFonts w:hint="eastAsia" w:ascii="宋体" w:hAnsi="宋体" w:cs="Times New Roman"/>
                <w:sz w:val="24"/>
                <w:lang w:eastAsia="zh-CN"/>
              </w:rPr>
              <w:t>根据检测结果可知本项目所有工种</w:t>
            </w:r>
            <w:r>
              <w:rPr>
                <w:rFonts w:hint="eastAsia" w:ascii="宋体" w:hAnsi="宋体" w:eastAsia="宋体" w:cs="Times New Roman"/>
                <w:sz w:val="24"/>
                <w:lang w:eastAsia="zh-CN"/>
              </w:rPr>
              <w:t>所检项目均符合判定依据标准要求。</w:t>
            </w:r>
          </w:p>
        </w:tc>
      </w:tr>
      <w:tr w14:paraId="599DFA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82" w:hRule="atLeast"/>
        </w:trPr>
        <w:tc>
          <w:tcPr>
            <w:tcW w:w="1440" w:type="dxa"/>
            <w:tcBorders>
              <w:top w:val="single" w:color="auto" w:sz="4" w:space="0"/>
              <w:left w:val="single" w:color="auto" w:sz="4" w:space="0"/>
              <w:bottom w:val="single" w:color="auto" w:sz="4" w:space="0"/>
              <w:right w:val="single" w:color="auto" w:sz="4" w:space="0"/>
            </w:tcBorders>
            <w:vAlign w:val="center"/>
          </w:tcPr>
          <w:p w14:paraId="5934AE0F">
            <w:pPr>
              <w:jc w:val="center"/>
              <w:rPr>
                <w:b/>
                <w:kern w:val="0"/>
                <w:sz w:val="24"/>
              </w:rPr>
            </w:pPr>
            <w:r>
              <w:rPr>
                <w:rFonts w:hint="eastAsia"/>
                <w:b/>
                <w:kern w:val="0"/>
                <w:sz w:val="24"/>
              </w:rPr>
              <w:t>评价结论及建议</w:t>
            </w:r>
          </w:p>
        </w:tc>
        <w:tc>
          <w:tcPr>
            <w:tcW w:w="7740" w:type="dxa"/>
            <w:gridSpan w:val="8"/>
            <w:tcBorders>
              <w:top w:val="single" w:color="auto" w:sz="4" w:space="0"/>
              <w:left w:val="single" w:color="auto" w:sz="4" w:space="0"/>
              <w:bottom w:val="single" w:color="auto" w:sz="4" w:space="0"/>
              <w:right w:val="single" w:color="auto" w:sz="4" w:space="0"/>
            </w:tcBorders>
            <w:vAlign w:val="center"/>
          </w:tcPr>
          <w:p w14:paraId="3177354B">
            <w:pPr>
              <w:widowControl/>
              <w:adjustRightInd w:val="0"/>
              <w:snapToGrid w:val="0"/>
              <w:spacing w:line="490" w:lineRule="exact"/>
              <w:ind w:firstLine="480" w:firstLineChars="200"/>
              <w:jc w:val="both"/>
              <w:rPr>
                <w:rFonts w:hint="eastAsia" w:ascii="宋体" w:hAnsi="宋体" w:eastAsia="宋体" w:cs="Times New Roman"/>
                <w:sz w:val="24"/>
              </w:rPr>
            </w:pPr>
            <w:r>
              <w:rPr>
                <w:rFonts w:hint="eastAsia" w:ascii="宋体" w:hAnsi="宋体" w:cs="Times New Roman"/>
                <w:sz w:val="24"/>
                <w:lang w:eastAsia="zh-CN"/>
              </w:rPr>
              <w:t>本项目</w:t>
            </w:r>
            <w:r>
              <w:rPr>
                <w:rFonts w:hint="eastAsia" w:ascii="宋体" w:hAnsi="宋体" w:eastAsia="宋体" w:cs="Times New Roman"/>
                <w:sz w:val="24"/>
              </w:rPr>
              <w:t>依照《国民经济行业分类》拟建项目属于水上运输辅助活动，根据《国家卫生健康委办公厅关于公布建设项目职业病危害风险分类管理目录的通知》（国卫办职健发〔2021〕5号）中规定，可判定为“</w:t>
            </w:r>
            <w:r>
              <w:rPr>
                <w:rFonts w:hint="eastAsia" w:ascii="宋体" w:hAnsi="宋体" w:eastAsia="宋体" w:cs="Times New Roman"/>
                <w:b/>
                <w:bCs/>
                <w:sz w:val="24"/>
              </w:rPr>
              <w:t>职业病危害一般</w:t>
            </w:r>
            <w:r>
              <w:rPr>
                <w:rFonts w:hint="eastAsia" w:ascii="宋体" w:hAnsi="宋体" w:eastAsia="宋体" w:cs="Times New Roman"/>
                <w:sz w:val="24"/>
              </w:rPr>
              <w:t>”的建设项目</w:t>
            </w:r>
            <w:r>
              <w:rPr>
                <w:rFonts w:hint="eastAsia" w:ascii="宋体" w:hAnsi="宋体" w:eastAsia="宋体" w:cs="Times New Roman"/>
                <w:b/>
                <w:bCs/>
                <w:sz w:val="24"/>
              </w:rPr>
              <w:t>。</w:t>
            </w:r>
          </w:p>
          <w:p w14:paraId="5A8C6961">
            <w:pPr>
              <w:widowControl/>
              <w:adjustRightInd w:val="0"/>
              <w:snapToGrid w:val="0"/>
              <w:spacing w:line="490" w:lineRule="exact"/>
              <w:ind w:firstLine="480" w:firstLineChars="200"/>
              <w:jc w:val="both"/>
              <w:rPr>
                <w:rFonts w:hint="eastAsia" w:ascii="宋体" w:hAnsi="宋体" w:eastAsia="宋体" w:cs="Times New Roman"/>
                <w:sz w:val="24"/>
              </w:rPr>
            </w:pPr>
            <w:r>
              <w:rPr>
                <w:rFonts w:hint="eastAsia" w:ascii="宋体" w:hAnsi="宋体" w:eastAsia="宋体" w:cs="Times New Roman"/>
                <w:sz w:val="24"/>
              </w:rPr>
              <w:t>该项目在生产过程中存在或产生的主要职业病危害因素为：</w:t>
            </w:r>
            <w:r>
              <w:rPr>
                <w:rFonts w:hint="eastAsia" w:ascii="宋体" w:hAnsi="宋体" w:eastAsia="宋体" w:cs="Times New Roman"/>
                <w:b/>
                <w:bCs/>
                <w:sz w:val="24"/>
              </w:rPr>
              <w:t>噪声、煤尘、矽尘、谷物粉尘、高温（夏季）</w:t>
            </w:r>
            <w:r>
              <w:rPr>
                <w:rFonts w:hint="eastAsia" w:ascii="宋体" w:hAnsi="宋体" w:eastAsia="宋体" w:cs="Times New Roman"/>
                <w:sz w:val="24"/>
              </w:rPr>
              <w:t>。</w:t>
            </w:r>
          </w:p>
          <w:p w14:paraId="1CFB2FC3">
            <w:pPr>
              <w:widowControl/>
              <w:adjustRightInd w:val="0"/>
              <w:snapToGrid w:val="0"/>
              <w:spacing w:line="490" w:lineRule="exact"/>
              <w:ind w:firstLine="480" w:firstLineChars="200"/>
              <w:jc w:val="both"/>
              <w:rPr>
                <w:rFonts w:hint="eastAsia" w:ascii="宋体" w:hAnsi="宋体" w:eastAsia="宋体" w:cs="Times New Roman"/>
                <w:b/>
                <w:bCs/>
                <w:sz w:val="24"/>
              </w:rPr>
            </w:pPr>
            <w:r>
              <w:rPr>
                <w:rFonts w:hint="eastAsia" w:ascii="宋体" w:hAnsi="宋体" w:eastAsia="宋体" w:cs="Times New Roman"/>
                <w:sz w:val="24"/>
              </w:rPr>
              <w:t>基于目前生产运行状况，并结合职业病危害因素的危害程度、检测结果、防护设施设置情况、员工作业方式和接触特点等情况，认为本项目的职业病危害关键控制点有</w:t>
            </w:r>
            <w:r>
              <w:rPr>
                <w:rFonts w:hint="eastAsia" w:ascii="宋体" w:hAnsi="宋体" w:eastAsia="宋体" w:cs="Times New Roman"/>
                <w:b/>
                <w:bCs/>
                <w:sz w:val="24"/>
              </w:rPr>
              <w:t>：(1)煤炭装卸卸船机司机作业过程接触的煤尘；(2)煤炭装卸清仓机司机作业过程接触的煤尘；(3)粮食装卸卸船机司机作业过程接触的谷物粉尘；(4)粮食装卸清仓工手工作业过程温接触的谷物粉尘和高（夏季）；(5)粮仓管理员进行粮食发运作业过程接触的谷物粉尘和高温（夏季）；(6)河砂装卸/碎石装卸卸船机司机作业过程接触的矽尘；(7)河砂装卸/碎石装卸清仓机司机作业过程接触的矽尘；(8)1#砂石装卸棚/2#砂石装卸棚铲车司机进行铲装作业时接触的矽尘和噪声；(9)2#条型仓铲车司机进行铲装作业时接触的煤尘。</w:t>
            </w:r>
          </w:p>
          <w:p w14:paraId="69535747">
            <w:pPr>
              <w:widowControl/>
              <w:adjustRightInd w:val="0"/>
              <w:snapToGrid w:val="0"/>
              <w:spacing w:line="490" w:lineRule="exact"/>
              <w:ind w:firstLine="480" w:firstLineChars="200"/>
              <w:jc w:val="both"/>
              <w:rPr>
                <w:rFonts w:hint="eastAsia" w:ascii="宋体" w:hAnsi="宋体" w:eastAsia="宋体" w:cs="Times New Roman"/>
                <w:b w:val="0"/>
                <w:bCs w:val="0"/>
                <w:sz w:val="24"/>
              </w:rPr>
            </w:pPr>
            <w:r>
              <w:rPr>
                <w:rFonts w:hint="eastAsia" w:ascii="宋体" w:hAnsi="宋体" w:eastAsia="宋体" w:cs="Times New Roman"/>
                <w:b w:val="0"/>
                <w:bCs w:val="0"/>
                <w:sz w:val="24"/>
              </w:rPr>
              <w:t>综上所述，</w:t>
            </w:r>
            <w:r>
              <w:rPr>
                <w:rFonts w:hint="eastAsia" w:ascii="宋体" w:hAnsi="宋体" w:cs="Times New Roman"/>
                <w:b w:val="0"/>
                <w:bCs w:val="0"/>
                <w:sz w:val="24"/>
                <w:lang w:eastAsia="zh-CN"/>
              </w:rPr>
              <w:t>江西省港口集团有限公司宜春港樟树港区河西作业区综合码头工程项目</w:t>
            </w:r>
            <w:r>
              <w:rPr>
                <w:rFonts w:hint="eastAsia" w:ascii="宋体" w:hAnsi="宋体" w:eastAsia="宋体" w:cs="Times New Roman"/>
                <w:b w:val="0"/>
                <w:bCs w:val="0"/>
                <w:sz w:val="24"/>
              </w:rPr>
              <w:t>基本执行了我国职业卫生相关法律、法规、规范标准，针对职业病危害因素采取了相应的职业病危害防护措施，防护效果基本良好，基本能够满足国家和地方对职业病防治方面法律、法规、标准的要求。通过综合分析和评价，项目单位在采取了本报告所提补充措施和建议的情况下，正常生产过程中，作业工人实际接触的职业病危害因素的浓度（或强度）可以控制在国家职业接触限值以内，能够符合国家和地方对职业病防治方面法律、法规、标准的要求。</w:t>
            </w:r>
          </w:p>
          <w:p w14:paraId="555455DB">
            <w:pPr>
              <w:widowControl/>
              <w:adjustRightInd w:val="0"/>
              <w:snapToGrid w:val="0"/>
              <w:spacing w:line="490" w:lineRule="exact"/>
              <w:ind w:firstLine="480" w:firstLineChars="200"/>
              <w:jc w:val="both"/>
              <w:rPr>
                <w:rFonts w:ascii="宋体" w:hAnsi="宋体"/>
                <w:sz w:val="24"/>
              </w:rPr>
            </w:pPr>
            <w:r>
              <w:rPr>
                <w:rFonts w:hint="eastAsia" w:ascii="宋体" w:hAnsi="宋体" w:eastAsia="宋体" w:cs="Times New Roman"/>
                <w:b w:val="0"/>
                <w:bCs w:val="0"/>
                <w:sz w:val="24"/>
              </w:rPr>
              <w:t>本评价报告是根据建设单位提供的该项目现有生产运行情况进行的识别、分析、检测和评价。如果该项目今后在产品，产量、原辅材料、生产工艺等方面发生变化时，需另行评价</w:t>
            </w:r>
          </w:p>
        </w:tc>
      </w:tr>
      <w:tr w14:paraId="1884C7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58" w:hRule="atLeast"/>
        </w:trPr>
        <w:tc>
          <w:tcPr>
            <w:tcW w:w="1440" w:type="dxa"/>
            <w:tcBorders>
              <w:top w:val="single" w:color="auto" w:sz="4" w:space="0"/>
              <w:left w:val="single" w:color="auto" w:sz="4" w:space="0"/>
              <w:bottom w:val="single" w:color="auto" w:sz="4" w:space="0"/>
              <w:right w:val="single" w:color="auto" w:sz="4" w:space="0"/>
            </w:tcBorders>
            <w:vAlign w:val="center"/>
          </w:tcPr>
          <w:p w14:paraId="26C2C280">
            <w:pPr>
              <w:jc w:val="center"/>
              <w:rPr>
                <w:b/>
                <w:kern w:val="0"/>
                <w:sz w:val="24"/>
              </w:rPr>
            </w:pPr>
            <w:r>
              <w:rPr>
                <w:rFonts w:hint="eastAsia"/>
                <w:b/>
                <w:kern w:val="0"/>
                <w:sz w:val="24"/>
              </w:rPr>
              <w:t>技术审查专家组</w:t>
            </w:r>
          </w:p>
          <w:p w14:paraId="61E685BD">
            <w:pPr>
              <w:jc w:val="center"/>
              <w:rPr>
                <w:b/>
                <w:kern w:val="0"/>
                <w:sz w:val="24"/>
              </w:rPr>
            </w:pPr>
            <w:r>
              <w:rPr>
                <w:rFonts w:hint="eastAsia"/>
                <w:b/>
                <w:kern w:val="0"/>
                <w:sz w:val="24"/>
              </w:rPr>
              <w:t>评审意见</w:t>
            </w:r>
          </w:p>
        </w:tc>
        <w:tc>
          <w:tcPr>
            <w:tcW w:w="7740" w:type="dxa"/>
            <w:gridSpan w:val="8"/>
            <w:tcBorders>
              <w:top w:val="single" w:color="auto" w:sz="4" w:space="0"/>
              <w:left w:val="single" w:color="auto" w:sz="4" w:space="0"/>
              <w:bottom w:val="single" w:color="auto" w:sz="4" w:space="0"/>
              <w:right w:val="single" w:color="auto" w:sz="4" w:space="0"/>
            </w:tcBorders>
            <w:vAlign w:val="center"/>
          </w:tcPr>
          <w:p w14:paraId="4B99A71F">
            <w:pPr>
              <w:rPr>
                <w:color w:val="000000"/>
                <w:kern w:val="0"/>
                <w:sz w:val="24"/>
              </w:rPr>
            </w:pPr>
            <w:r>
              <w:rPr>
                <w:rFonts w:hint="eastAsia" w:ascii="宋体" w:hAnsi="宋体"/>
                <w:sz w:val="24"/>
              </w:rPr>
              <w:t>对存在问题修改完善后，经评审、验收组成员签字确认，建议《评价报告》通过评审。</w:t>
            </w:r>
          </w:p>
        </w:tc>
      </w:tr>
    </w:tbl>
    <w:p w14:paraId="7DE249DE">
      <w:pPr>
        <w:rPr>
          <w:rFonts w:hint="default" w:eastAsia="宋体"/>
          <w:lang w:val="en-US" w:eastAsia="zh-CN"/>
        </w:rPr>
      </w:pPr>
      <w:bookmarkStart w:id="0" w:name="_GoBack"/>
      <w:bookmarkEnd w:id="0"/>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81"/>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仿宋_GB2312">
    <w:panose1 w:val="02010609030101010101"/>
    <w:charset w:val="86"/>
    <w:family w:val="modern"/>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2"/>
  </w:compat>
  <w:docVars>
    <w:docVar w:name="commondata" w:val="eyJoZGlkIjoiZmYyYjYzMGI2MGVhOWNlMjk3YTJhNDgzZWI5M2Y2NDgifQ=="/>
  </w:docVars>
  <w:rsids>
    <w:rsidRoot w:val="003B3E4B"/>
    <w:rsid w:val="000E58D6"/>
    <w:rsid w:val="001D783C"/>
    <w:rsid w:val="001E2B31"/>
    <w:rsid w:val="001E7E91"/>
    <w:rsid w:val="00201ABB"/>
    <w:rsid w:val="002137CE"/>
    <w:rsid w:val="00222EAF"/>
    <w:rsid w:val="00267723"/>
    <w:rsid w:val="002C6025"/>
    <w:rsid w:val="0036720B"/>
    <w:rsid w:val="0038593C"/>
    <w:rsid w:val="003B3E4B"/>
    <w:rsid w:val="003C6F2B"/>
    <w:rsid w:val="00481067"/>
    <w:rsid w:val="004B1BB3"/>
    <w:rsid w:val="006324CB"/>
    <w:rsid w:val="006C6F15"/>
    <w:rsid w:val="00715B68"/>
    <w:rsid w:val="00785F19"/>
    <w:rsid w:val="007E0A4D"/>
    <w:rsid w:val="008C17E3"/>
    <w:rsid w:val="00996E62"/>
    <w:rsid w:val="00A31BE6"/>
    <w:rsid w:val="00D478EA"/>
    <w:rsid w:val="00EF5425"/>
    <w:rsid w:val="00F6182C"/>
    <w:rsid w:val="00FA0434"/>
    <w:rsid w:val="01995B0E"/>
    <w:rsid w:val="07317033"/>
    <w:rsid w:val="10497F5C"/>
    <w:rsid w:val="209549B2"/>
    <w:rsid w:val="22047891"/>
    <w:rsid w:val="2288631C"/>
    <w:rsid w:val="29135144"/>
    <w:rsid w:val="2C0021B8"/>
    <w:rsid w:val="2C415F37"/>
    <w:rsid w:val="2D562C3F"/>
    <w:rsid w:val="2E103562"/>
    <w:rsid w:val="35A24AE6"/>
    <w:rsid w:val="3E6A39CB"/>
    <w:rsid w:val="3F3A2EF7"/>
    <w:rsid w:val="43F65AD6"/>
    <w:rsid w:val="4A973AA3"/>
    <w:rsid w:val="4AFE5C27"/>
    <w:rsid w:val="4B665A18"/>
    <w:rsid w:val="51BF65D8"/>
    <w:rsid w:val="643031FF"/>
    <w:rsid w:val="6B1F0F41"/>
    <w:rsid w:val="6B6D2669"/>
    <w:rsid w:val="6D1D15AD"/>
    <w:rsid w:val="73440153"/>
    <w:rsid w:val="751A406E"/>
    <w:rsid w:val="75E33EDA"/>
    <w:rsid w:val="7788146B"/>
    <w:rsid w:val="7A8F0A4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nhideWhenUsed="0" w:uiPriority="0" w:semiHidden="0"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name="header"/>
    <w:lsdException w:qFormat="1"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nhideWhenUsed="0" w:uiPriority="0"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qFormat="1" w:unhideWhenUsed="0" w:uiPriority="0" w:semiHidden="0"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qFormat="1" w:unhideWhenUsed="0" w:uiPriority="0" w:semiHidden="0"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3">
    <w:name w:val="heading 2"/>
    <w:basedOn w:val="1"/>
    <w:next w:val="1"/>
    <w:autoRedefine/>
    <w:qFormat/>
    <w:uiPriority w:val="0"/>
    <w:pPr>
      <w:keepNext/>
      <w:keepLines/>
      <w:spacing w:line="415" w:lineRule="auto"/>
      <w:outlineLvl w:val="1"/>
    </w:pPr>
    <w:rPr>
      <w:rFonts w:ascii="Arial" w:hAnsi="Arial" w:eastAsia="黑体"/>
      <w:b/>
      <w:bCs/>
      <w:sz w:val="32"/>
      <w:szCs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2">
    <w:name w:val="Plain Text"/>
    <w:basedOn w:val="1"/>
    <w:autoRedefine/>
    <w:qFormat/>
    <w:uiPriority w:val="0"/>
    <w:rPr>
      <w:rFonts w:ascii="宋体" w:hAnsi="Courier New"/>
      <w:szCs w:val="20"/>
    </w:rPr>
  </w:style>
  <w:style w:type="paragraph" w:styleId="4">
    <w:name w:val="Body Text"/>
    <w:basedOn w:val="1"/>
    <w:autoRedefine/>
    <w:qFormat/>
    <w:uiPriority w:val="0"/>
    <w:pPr>
      <w:tabs>
        <w:tab w:val="left" w:pos="4344"/>
      </w:tabs>
      <w:autoSpaceDE w:val="0"/>
      <w:autoSpaceDN w:val="0"/>
      <w:adjustRightInd w:val="0"/>
      <w:spacing w:line="457" w:lineRule="exact"/>
      <w:ind w:firstLine="569" w:firstLineChars="200"/>
      <w:jc w:val="left"/>
    </w:pPr>
    <w:rPr>
      <w:rFonts w:ascii="仿宋_GB2312" w:hAnsi="仿宋_GB2312" w:eastAsia="仿宋_GB2312"/>
      <w:color w:val="000000"/>
      <w:w w:val="102"/>
      <w:kern w:val="0"/>
      <w:sz w:val="28"/>
      <w:szCs w:val="28"/>
      <w:lang w:val="zh-CN"/>
    </w:rPr>
  </w:style>
  <w:style w:type="paragraph" w:styleId="5">
    <w:name w:val="footer"/>
    <w:basedOn w:val="1"/>
    <w:link w:val="10"/>
    <w:semiHidden/>
    <w:unhideWhenUsed/>
    <w:qFormat/>
    <w:uiPriority w:val="99"/>
    <w:pPr>
      <w:tabs>
        <w:tab w:val="center" w:pos="4153"/>
        <w:tab w:val="right" w:pos="8306"/>
      </w:tabs>
      <w:snapToGrid w:val="0"/>
      <w:jc w:val="left"/>
    </w:pPr>
    <w:rPr>
      <w:rFonts w:asciiTheme="minorHAnsi" w:hAnsiTheme="minorHAnsi" w:eastAsiaTheme="minorEastAsia" w:cstheme="minorBidi"/>
      <w:sz w:val="18"/>
      <w:szCs w:val="18"/>
    </w:rPr>
  </w:style>
  <w:style w:type="paragraph" w:styleId="6">
    <w:name w:val="header"/>
    <w:basedOn w:val="1"/>
    <w:link w:val="9"/>
    <w:semiHidden/>
    <w:unhideWhenUsed/>
    <w:qFormat/>
    <w:uiPriority w:val="99"/>
    <w:pPr>
      <w:pBdr>
        <w:bottom w:val="single" w:color="auto" w:sz="6" w:space="1"/>
      </w:pBdr>
      <w:tabs>
        <w:tab w:val="center" w:pos="4153"/>
        <w:tab w:val="right" w:pos="8306"/>
      </w:tabs>
      <w:snapToGrid w:val="0"/>
      <w:jc w:val="center"/>
    </w:pPr>
    <w:rPr>
      <w:rFonts w:asciiTheme="minorHAnsi" w:hAnsiTheme="minorHAnsi" w:eastAsiaTheme="minorEastAsia" w:cstheme="minorBidi"/>
      <w:sz w:val="18"/>
      <w:szCs w:val="18"/>
    </w:rPr>
  </w:style>
  <w:style w:type="character" w:customStyle="1" w:styleId="9">
    <w:name w:val="页眉 Char"/>
    <w:basedOn w:val="8"/>
    <w:link w:val="6"/>
    <w:autoRedefine/>
    <w:semiHidden/>
    <w:qFormat/>
    <w:uiPriority w:val="99"/>
    <w:rPr>
      <w:sz w:val="18"/>
      <w:szCs w:val="18"/>
    </w:rPr>
  </w:style>
  <w:style w:type="character" w:customStyle="1" w:styleId="10">
    <w:name w:val="页脚 Char"/>
    <w:basedOn w:val="8"/>
    <w:link w:val="5"/>
    <w:autoRedefine/>
    <w:semiHidden/>
    <w:qFormat/>
    <w:uiPriority w:val="99"/>
    <w:rPr>
      <w:sz w:val="18"/>
      <w:szCs w:val="18"/>
    </w:rPr>
  </w:style>
  <w:style w:type="paragraph" w:customStyle="1" w:styleId="11">
    <w:name w:val="样式 宋体 四号 黑色 行距: 1.5 倍行距"/>
    <w:basedOn w:val="1"/>
    <w:autoRedefine/>
    <w:qFormat/>
    <w:uiPriority w:val="0"/>
    <w:pPr>
      <w:spacing w:line="360" w:lineRule="auto"/>
      <w:ind w:firstLine="560" w:firstLineChars="200"/>
      <w:jc w:val="left"/>
    </w:pPr>
    <w:rPr>
      <w:rFonts w:ascii="宋体" w:hAnsi="宋体" w:cs="宋体"/>
      <w:sz w:val="28"/>
      <w:szCs w:val="28"/>
    </w:rPr>
  </w:style>
  <w:style w:type="paragraph" w:customStyle="1" w:styleId="12">
    <w:name w:val="ZH正文"/>
    <w:basedOn w:val="1"/>
    <w:qFormat/>
    <w:uiPriority w:val="0"/>
    <w:pPr>
      <w:spacing w:line="360" w:lineRule="auto"/>
      <w:ind w:firstLine="200" w:firstLineChars="200"/>
    </w:pPr>
    <w:rPr>
      <w:sz w:val="24"/>
    </w:rPr>
  </w:style>
  <w:style w:type="character" w:customStyle="1" w:styleId="13">
    <w:name w:val="YYC Char"/>
    <w:basedOn w:val="8"/>
    <w:link w:val="14"/>
    <w:autoRedefine/>
    <w:qFormat/>
    <w:uiPriority w:val="0"/>
    <w:rPr>
      <w:rFonts w:ascii="仿宋_GB2312" w:eastAsia="仿宋_GB2312" w:cs="宋体"/>
      <w:color w:val="000000"/>
      <w:sz w:val="28"/>
    </w:rPr>
  </w:style>
  <w:style w:type="paragraph" w:customStyle="1" w:styleId="14">
    <w:name w:val="YYC"/>
    <w:basedOn w:val="1"/>
    <w:link w:val="13"/>
    <w:autoRedefine/>
    <w:qFormat/>
    <w:uiPriority w:val="0"/>
    <w:pPr>
      <w:spacing w:line="490" w:lineRule="exact"/>
      <w:ind w:firstLine="560" w:firstLineChars="200"/>
    </w:pPr>
    <w:rPr>
      <w:rFonts w:ascii="仿宋_GB2312" w:eastAsia="仿宋_GB2312" w:cs="宋体" w:hAnsiTheme="minorHAnsi"/>
      <w:color w:val="000000"/>
      <w:sz w:val="28"/>
      <w:szCs w:val="22"/>
    </w:rPr>
  </w:style>
  <w:style w:type="paragraph" w:customStyle="1" w:styleId="15">
    <w:name w:val="报告书正文2"/>
    <w:basedOn w:val="1"/>
    <w:qFormat/>
    <w:uiPriority w:val="0"/>
    <w:pPr>
      <w:spacing w:line="460" w:lineRule="exact"/>
      <w:ind w:firstLine="560" w:firstLineChars="200"/>
    </w:pPr>
    <w:rPr>
      <w:rFonts w:ascii="Calibri" w:hAnsi="Calibri" w:eastAsia="仿宋_GB2312"/>
      <w:kern w:val="0"/>
      <w:sz w:val="28"/>
      <w:szCs w:val="20"/>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Company>China</Company>
  <Pages>4</Pages>
  <Words>2803</Words>
  <Characters>2941</Characters>
  <Lines>5</Lines>
  <Paragraphs>1</Paragraphs>
  <TotalTime>13</TotalTime>
  <ScaleCrop>false</ScaleCrop>
  <LinksUpToDate>false</LinksUpToDate>
  <CharactersWithSpaces>2941</CharactersWithSpaces>
  <Application>WPS Office_12.1.0.18276_F1E327BC-269C-435d-A152-05C5408002CA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2018-02-05T07:37:00Z</dcterms:created>
  <dc:creator>User</dc:creator>
  <cp:lastModifiedBy>辰辰妈</cp:lastModifiedBy>
  <dcterms:modified xsi:type="dcterms:W3CDTF">2024-09-27T07:46:07Z</dcterms:modified>
  <cp:revision>13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2052-12.1.0.18276</vt:lpwstr>
  </property>
  <property fmtid="{D5CDD505-2E9C-101B-9397-08002B2CF9AE}" pid="3" name="ICV">
    <vt:lpwstr>A34D052BD2E54F73BEFF308F8C187B19</vt:lpwstr>
  </property>
</Properties>
</file>