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A5B38">
      <w:pPr>
        <w:jc w:val="center"/>
        <w:rPr>
          <w:b/>
          <w:color w:val="000000"/>
          <w:kern w:val="0"/>
          <w:sz w:val="24"/>
        </w:rPr>
      </w:pPr>
      <w:bookmarkStart w:id="0" w:name="_GoBack"/>
      <w:r>
        <w:rPr>
          <w:rFonts w:hint="eastAsia"/>
          <w:b/>
          <w:color w:val="000000"/>
          <w:kern w:val="0"/>
          <w:sz w:val="24"/>
          <w:lang w:eastAsia="zh-CN"/>
        </w:rPr>
        <w:t>万载投资发展集团有限公司龙湖加油站建设项目</w:t>
      </w:r>
      <w:r>
        <w:rPr>
          <w:rFonts w:hint="eastAsia"/>
          <w:b/>
          <w:color w:val="000000"/>
          <w:kern w:val="0"/>
          <w:sz w:val="24"/>
        </w:rPr>
        <w:t>职业病危害预评价报告公示</w:t>
      </w:r>
    </w:p>
    <w:bookmarkEnd w:id="0"/>
    <w:tbl>
      <w:tblPr>
        <w:tblStyle w:val="6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340"/>
        <w:gridCol w:w="180"/>
        <w:gridCol w:w="523"/>
        <w:gridCol w:w="2357"/>
        <w:gridCol w:w="388"/>
        <w:gridCol w:w="872"/>
        <w:gridCol w:w="133"/>
        <w:gridCol w:w="947"/>
      </w:tblGrid>
      <w:tr w14:paraId="7EE11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1AE91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7873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万载投资发展集团有限公司龙湖加油站建设项目</w:t>
            </w:r>
            <w:r>
              <w:rPr>
                <w:rFonts w:hint="eastAsia" w:ascii="宋体" w:hAnsi="宋体"/>
                <w:sz w:val="24"/>
              </w:rPr>
              <w:t>职业病危害预评价报告</w:t>
            </w:r>
          </w:p>
        </w:tc>
      </w:tr>
      <w:tr w14:paraId="3D9A1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52B37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报告书编号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96E02">
            <w:pPr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ZPYKJ24-026</w:t>
            </w:r>
          </w:p>
        </w:tc>
      </w:tr>
      <w:tr w14:paraId="6C178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F281B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60627">
            <w:pPr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万载投资发展集团有限公司</w:t>
            </w: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D792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地理位置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47495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万载县城康南路以西、龙湖路以北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0F866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7666B">
            <w:pPr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包佑伟</w:t>
            </w:r>
          </w:p>
        </w:tc>
      </w:tr>
      <w:tr w14:paraId="2B05C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A2919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项目简介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6F0E4">
            <w:pPr>
              <w:widowControl/>
              <w:tabs>
                <w:tab w:val="left" w:pos="0"/>
              </w:tabs>
              <w:adjustRightInd w:val="0"/>
              <w:snapToGrid w:val="0"/>
              <w:spacing w:line="49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万载投资发展集团有限公司龙湖加油站，本项目属于新建项目，位于万载县城康南路以西、龙湖路以北。本项目总用地面积5974平方米，主要建设内容目为1栋2层站房、加油区、卸油区、储罐区、充电区、洗车区、服务楼等设施。其中加油区罩棚下方行车道地下设有5台埋地卧式储罐（SF双层油罐）。拟设1个0#柴油罐，1个50m³0#柴油罐。拟设3个92#汽油罐，3个均为30m³92#汽油罐。拟设1个95#汽油罐，1个30m³95#汽油罐。储罐总容量为170m³，折算容量为145m³（柴油折半），属一级加油站。本加油站卸油和加油均设置油气回收系统，并且布置卸油、输油、油气回收、通气管道等相关设施。</w:t>
            </w:r>
          </w:p>
          <w:p w14:paraId="36BC4446">
            <w:pPr>
              <w:widowControl/>
              <w:tabs>
                <w:tab w:val="left" w:pos="0"/>
              </w:tabs>
              <w:adjustRightInd w:val="0"/>
              <w:snapToGrid w:val="0"/>
              <w:spacing w:line="49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拟建项目2021年4月21日在万载县商务局进行备案，项目代码为2306-360922-04-01-700959。</w:t>
            </w:r>
          </w:p>
          <w:p w14:paraId="14E4AF0A">
            <w:pPr>
              <w:widowControl/>
              <w:tabs>
                <w:tab w:val="left" w:pos="0"/>
              </w:tabs>
              <w:adjustRightInd w:val="0"/>
              <w:snapToGrid w:val="0"/>
              <w:spacing w:line="49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根据《中华人民共和国职业病防治法》、《建设项目职业病防护设施“三同时”监督管理办法》(国家安监总局令〔2017〕第90号)等相关职业病防治法律法规要求，为预防、控制和消除职业病危害、保护劳动者健康，万载投资发展集团有限公司于2024年7月委托江西省矿检安全科技有限公司（以下简称“我公司”）对其龙湖加油站建设项目进行职业病危害预评价。</w:t>
            </w:r>
          </w:p>
        </w:tc>
      </w:tr>
      <w:tr w14:paraId="37C62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3D04D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现场调查人员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79932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杨烨、熊俊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F8145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43144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07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08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75C2E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4ED7C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包佑伟</w:t>
            </w:r>
          </w:p>
        </w:tc>
      </w:tr>
      <w:tr w14:paraId="6E53A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0A131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color w:val="333333"/>
                <w:kern w:val="0"/>
                <w:sz w:val="24"/>
              </w:rPr>
              <w:t>现场</w:t>
            </w:r>
            <w:r>
              <w:rPr>
                <w:rFonts w:hint="eastAsia"/>
                <w:b/>
                <w:kern w:val="0"/>
                <w:sz w:val="24"/>
              </w:rPr>
              <w:t>采样、检测人员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2AD16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887D6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33F6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2CC57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243E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</w:tr>
      <w:tr w14:paraId="62D6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F6DFC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建设项目存在的职业病危害因素及检测结果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0A3D7">
            <w:pPr>
              <w:pStyle w:val="14"/>
              <w:adjustRightInd w:val="0"/>
              <w:snapToGrid w:val="0"/>
              <w:spacing w:line="490" w:lineRule="exact"/>
              <w:ind w:firstLine="480"/>
              <w:rPr>
                <w:rFonts w:ascii="Times New Roman" w:hAnsi="Times New Roman"/>
                <w:bCs/>
                <w:kern w:val="28"/>
                <w:szCs w:val="28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拟建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项目建成后运行过程中可能产生或存在的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主要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职业病危害因素有：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汽油、柴油、高温、噪声。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根据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类比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分析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及经验法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可知，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各岗位接触的职业病危害因素危害程度基本可以得到有效控制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本项目关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键控制点为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  <w:t>加油工在加油区进行加油作业时接触汽油和柴油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。</w:t>
            </w:r>
          </w:p>
        </w:tc>
      </w:tr>
      <w:tr w14:paraId="61508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638AC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评价结论及建议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70A18">
            <w:pPr>
              <w:pStyle w:val="14"/>
              <w:adjustRightInd w:val="0"/>
              <w:snapToGrid w:val="0"/>
              <w:spacing w:line="490" w:lineRule="exact"/>
              <w:ind w:firstLine="480"/>
              <w:rPr>
                <w:rFonts w:ascii="宋体" w:hAnsi="宋体" w:eastAsia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该拟建项目属于“零售业（机动车燃油零售）”，属“职业病危害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  <w:lang w:eastAsia="zh-CN"/>
              </w:rPr>
              <w:t>一般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”的项目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。通过工程分析、类比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分析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及对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拟建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项目职业病危害因素的综合分析与评价，确定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该</w:t>
            </w:r>
            <w:r>
              <w:rPr>
                <w:rFonts w:ascii="宋体" w:hAnsi="宋体" w:eastAsia="宋体"/>
                <w:kern w:val="2"/>
                <w:sz w:val="24"/>
                <w:szCs w:val="24"/>
              </w:rPr>
              <w:t>拟建项目在采取了本报告所提防护措施后，各主要接触职业病危害作业岗位的职业病危害因素预期浓度（强度）范围和接触水平能满足国家和地方对职业病防治方面法律、法规、标准的要求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。</w:t>
            </w:r>
          </w:p>
        </w:tc>
      </w:tr>
      <w:tr w14:paraId="505C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183F3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技术审查专家组</w:t>
            </w:r>
          </w:p>
          <w:p w14:paraId="5E2D41AA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评审意见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65FE2">
            <w:pPr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对存在问题修改完善后经专家组确认后，建议《评价报告》通过评审。</w:t>
            </w:r>
          </w:p>
        </w:tc>
      </w:tr>
    </w:tbl>
    <w:p w14:paraId="3A0FE7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yYjYzMGI2MGVhOWNlMjk3YTJhNDgzZWI5M2Y2NDgifQ=="/>
  </w:docVars>
  <w:rsids>
    <w:rsidRoot w:val="003B3E4B"/>
    <w:rsid w:val="000C0C54"/>
    <w:rsid w:val="001B4C6E"/>
    <w:rsid w:val="002137CE"/>
    <w:rsid w:val="00267723"/>
    <w:rsid w:val="002D6359"/>
    <w:rsid w:val="0036720B"/>
    <w:rsid w:val="003B3E4B"/>
    <w:rsid w:val="003C6F2B"/>
    <w:rsid w:val="00481067"/>
    <w:rsid w:val="004B1BB3"/>
    <w:rsid w:val="006324CB"/>
    <w:rsid w:val="00785F19"/>
    <w:rsid w:val="007E0A4D"/>
    <w:rsid w:val="00804B0A"/>
    <w:rsid w:val="008C17E3"/>
    <w:rsid w:val="008E04ED"/>
    <w:rsid w:val="00931E49"/>
    <w:rsid w:val="00A31BE6"/>
    <w:rsid w:val="00D95001"/>
    <w:rsid w:val="00E74D08"/>
    <w:rsid w:val="00F6182C"/>
    <w:rsid w:val="07317033"/>
    <w:rsid w:val="07DC3E9A"/>
    <w:rsid w:val="0D71498D"/>
    <w:rsid w:val="10497F5C"/>
    <w:rsid w:val="111922FE"/>
    <w:rsid w:val="1915253D"/>
    <w:rsid w:val="209549B2"/>
    <w:rsid w:val="22047891"/>
    <w:rsid w:val="2288631C"/>
    <w:rsid w:val="29135144"/>
    <w:rsid w:val="2A454DC8"/>
    <w:rsid w:val="2C415F37"/>
    <w:rsid w:val="2E103562"/>
    <w:rsid w:val="3B623192"/>
    <w:rsid w:val="4A973AA3"/>
    <w:rsid w:val="4B665A18"/>
    <w:rsid w:val="4CAD6F95"/>
    <w:rsid w:val="55AF53C9"/>
    <w:rsid w:val="61F666AD"/>
    <w:rsid w:val="63E456B3"/>
    <w:rsid w:val="643031FF"/>
    <w:rsid w:val="65641D69"/>
    <w:rsid w:val="6D1D15AD"/>
    <w:rsid w:val="73FC784B"/>
    <w:rsid w:val="75936216"/>
    <w:rsid w:val="75E33EDA"/>
    <w:rsid w:val="7700476F"/>
    <w:rsid w:val="7788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kern w:val="0"/>
      <w:sz w:val="20"/>
    </w:rPr>
  </w:style>
  <w:style w:type="paragraph" w:styleId="3">
    <w:name w:val="Body Text"/>
    <w:basedOn w:val="1"/>
    <w:qFormat/>
    <w:uiPriority w:val="0"/>
    <w:pPr>
      <w:tabs>
        <w:tab w:val="left" w:pos="4344"/>
      </w:tabs>
      <w:autoSpaceDE w:val="0"/>
      <w:autoSpaceDN w:val="0"/>
      <w:adjustRightInd w:val="0"/>
      <w:spacing w:line="457" w:lineRule="exact"/>
      <w:ind w:firstLine="569" w:firstLineChars="200"/>
      <w:jc w:val="left"/>
    </w:pPr>
    <w:rPr>
      <w:rFonts w:ascii="仿宋_GB2312" w:hAnsi="仿宋_GB2312" w:eastAsia="仿宋_GB2312"/>
      <w:color w:val="000000"/>
      <w:w w:val="102"/>
      <w:kern w:val="0"/>
      <w:sz w:val="28"/>
      <w:szCs w:val="28"/>
      <w:lang w:val="zh-CN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0">
    <w:name w:val="样式 宋体 四号 黑色 行距: 1.5 倍行距"/>
    <w:basedOn w:val="1"/>
    <w:qFormat/>
    <w:uiPriority w:val="0"/>
    <w:pPr>
      <w:spacing w:line="360" w:lineRule="auto"/>
      <w:ind w:firstLine="560" w:firstLineChars="200"/>
      <w:jc w:val="left"/>
    </w:pPr>
    <w:rPr>
      <w:rFonts w:ascii="宋体" w:hAnsi="宋体" w:cs="宋体"/>
      <w:sz w:val="28"/>
      <w:szCs w:val="28"/>
    </w:rPr>
  </w:style>
  <w:style w:type="paragraph" w:customStyle="1" w:styleId="11">
    <w:name w:val="ZH正文"/>
    <w:basedOn w:val="1"/>
    <w:qFormat/>
    <w:uiPriority w:val="0"/>
    <w:pPr>
      <w:spacing w:line="360" w:lineRule="auto"/>
      <w:ind w:firstLine="200" w:firstLineChars="200"/>
    </w:pPr>
    <w:rPr>
      <w:sz w:val="24"/>
    </w:rPr>
  </w:style>
  <w:style w:type="character" w:customStyle="1" w:styleId="12">
    <w:name w:val="YYC Char"/>
    <w:basedOn w:val="7"/>
    <w:link w:val="13"/>
    <w:qFormat/>
    <w:uiPriority w:val="0"/>
    <w:rPr>
      <w:rFonts w:ascii="仿宋_GB2312" w:eastAsia="仿宋_GB2312" w:cs="宋体"/>
      <w:color w:val="000000"/>
      <w:sz w:val="28"/>
    </w:rPr>
  </w:style>
  <w:style w:type="paragraph" w:customStyle="1" w:styleId="13">
    <w:name w:val="YYC"/>
    <w:basedOn w:val="1"/>
    <w:link w:val="12"/>
    <w:qFormat/>
    <w:uiPriority w:val="0"/>
    <w:pPr>
      <w:spacing w:line="490" w:lineRule="exact"/>
      <w:ind w:firstLine="560" w:firstLineChars="200"/>
    </w:pPr>
    <w:rPr>
      <w:rFonts w:ascii="仿宋_GB2312" w:eastAsia="仿宋_GB2312" w:cs="宋体" w:hAnsiTheme="minorHAnsi"/>
      <w:color w:val="000000"/>
      <w:sz w:val="28"/>
      <w:szCs w:val="22"/>
    </w:rPr>
  </w:style>
  <w:style w:type="paragraph" w:customStyle="1" w:styleId="14">
    <w:name w:val="报告书正文2"/>
    <w:basedOn w:val="1"/>
    <w:qFormat/>
    <w:uiPriority w:val="0"/>
    <w:pPr>
      <w:spacing w:line="460" w:lineRule="exact"/>
      <w:ind w:firstLine="560" w:firstLineChars="200"/>
    </w:pPr>
    <w:rPr>
      <w:rFonts w:ascii="Calibri" w:hAnsi="Calibri" w:eastAsia="仿宋_GB2312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964</Words>
  <Characters>1051</Characters>
  <Lines>6</Lines>
  <Paragraphs>1</Paragraphs>
  <TotalTime>0</TotalTime>
  <ScaleCrop>false</ScaleCrop>
  <LinksUpToDate>false</LinksUpToDate>
  <CharactersWithSpaces>1051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2018-02-05T07:37:00Z</dcterms:created>
  <dc:creator>User</dc:creator>
  <cp:lastModifiedBy>辰辰妈</cp:lastModifiedBy>
  <dcterms:modified xsi:type="dcterms:W3CDTF">2024-09-27T08:04:15Z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9C0ED86CEF8747E2A5FF36422AC90245</vt:lpwstr>
  </property>
</Properties>
</file>