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0C197">
      <w:pPr>
        <w:spacing w:line="300" w:lineRule="exact"/>
        <w:jc w:val="center"/>
        <w:rPr>
          <w:rFonts w:ascii="宋体" w:hAnsi="宋体"/>
          <w:b/>
          <w:sz w:val="28"/>
          <w:szCs w:val="28"/>
        </w:rPr>
      </w:pPr>
      <w:bookmarkStart w:id="0" w:name="_GoBack"/>
      <w:r>
        <w:rPr>
          <w:rFonts w:ascii="宋体" w:hAnsi="宋体" w:cs="仿宋"/>
          <w:b/>
          <w:sz w:val="28"/>
          <w:szCs w:val="28"/>
        </w:rPr>
        <w:t>江西南昌济生制药有限责任公司</w:t>
      </w:r>
      <w:r>
        <w:rPr>
          <w:rFonts w:ascii="宋体" w:hAnsi="宋体" w:cs="仿宋"/>
          <w:b/>
          <w:bCs/>
          <w:sz w:val="28"/>
          <w:szCs w:val="28"/>
        </w:rPr>
        <w:t>华润江中科创城现代中药生产基地一期工程</w:t>
      </w:r>
      <w:r>
        <w:rPr>
          <w:rFonts w:hint="eastAsia" w:ascii="宋体" w:hAnsi="宋体" w:cs="仿宋"/>
          <w:b/>
          <w:sz w:val="28"/>
          <w:szCs w:val="28"/>
        </w:rPr>
        <w:t>职业病危害控制效果评价报告</w:t>
      </w:r>
      <w:r>
        <w:rPr>
          <w:rFonts w:hint="eastAsia" w:ascii="宋体" w:hAnsi="宋体"/>
          <w:b/>
          <w:sz w:val="28"/>
          <w:szCs w:val="28"/>
        </w:rPr>
        <w:t>公示</w:t>
      </w:r>
    </w:p>
    <w:bookmarkEnd w:id="0"/>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2CA5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26928696">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04AB59F">
            <w:pPr>
              <w:jc w:val="center"/>
              <w:rPr>
                <w:rFonts w:ascii="宋体" w:hAnsi="宋体"/>
                <w:sz w:val="24"/>
              </w:rPr>
            </w:pPr>
            <w:r>
              <w:rPr>
                <w:rFonts w:hint="eastAsia" w:ascii="宋体" w:hAnsi="宋体"/>
                <w:sz w:val="24"/>
              </w:rPr>
              <w:t>江西南昌济生制药有限责任公司华润江中科创城现代中药生产基地一期工程职业病危害控制效果评价报告</w:t>
            </w:r>
          </w:p>
        </w:tc>
      </w:tr>
      <w:tr w14:paraId="1145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3652EE79">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2B4553B">
            <w:pPr>
              <w:jc w:val="left"/>
              <w:rPr>
                <w:rFonts w:ascii="宋体" w:hAnsi="宋体"/>
                <w:sz w:val="24"/>
              </w:rPr>
            </w:pPr>
            <w:r>
              <w:rPr>
                <w:rFonts w:ascii="宋体" w:hAnsi="宋体"/>
                <w:sz w:val="24"/>
              </w:rPr>
              <w:t>ZPKKJ24-020</w:t>
            </w:r>
          </w:p>
        </w:tc>
      </w:tr>
      <w:tr w14:paraId="3203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3F2F7E31">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1534850C">
            <w:pPr>
              <w:jc w:val="left"/>
              <w:rPr>
                <w:rFonts w:ascii="宋体" w:hAnsi="宋体"/>
                <w:sz w:val="24"/>
              </w:rPr>
            </w:pPr>
            <w:r>
              <w:rPr>
                <w:rFonts w:hint="eastAsia" w:ascii="宋体" w:hAnsi="宋体"/>
                <w:sz w:val="24"/>
              </w:rPr>
              <w:t>江西南昌济生制药有限责任公司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002A9C23">
            <w:pPr>
              <w:jc w:val="left"/>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1431D5A">
            <w:pPr>
              <w:jc w:val="left"/>
              <w:rPr>
                <w:rFonts w:ascii="宋体" w:hAnsi="宋体"/>
                <w:sz w:val="24"/>
              </w:rPr>
            </w:pPr>
            <w:r>
              <w:rPr>
                <w:rFonts w:ascii="宋体" w:hAnsi="宋体"/>
                <w:sz w:val="24"/>
              </w:rPr>
              <w:t>江西省</w:t>
            </w:r>
            <w:r>
              <w:rPr>
                <w:rFonts w:hint="eastAsia" w:ascii="宋体" w:hAnsi="宋体"/>
                <w:sz w:val="24"/>
              </w:rPr>
              <w:t>赣江新区直管区中医药科创城时珍南大道666号</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722CAFE2">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18588E8E">
            <w:pPr>
              <w:jc w:val="left"/>
              <w:rPr>
                <w:rFonts w:ascii="宋体" w:hAnsi="宋体"/>
                <w:sz w:val="24"/>
              </w:rPr>
            </w:pPr>
            <w:r>
              <w:rPr>
                <w:rFonts w:hint="eastAsia" w:ascii="宋体" w:hAnsi="宋体"/>
                <w:sz w:val="24"/>
              </w:rPr>
              <w:t>杨萱</w:t>
            </w:r>
          </w:p>
        </w:tc>
      </w:tr>
      <w:tr w14:paraId="15E2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003578FA">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B28FFC0">
            <w:pPr>
              <w:widowControl/>
              <w:adjustRightInd w:val="0"/>
              <w:snapToGrid w:val="0"/>
              <w:ind w:firstLine="480" w:firstLineChars="200"/>
              <w:rPr>
                <w:rFonts w:ascii="宋体" w:hAnsi="宋体"/>
                <w:sz w:val="24"/>
              </w:rPr>
            </w:pPr>
            <w:r>
              <w:rPr>
                <w:rFonts w:hint="eastAsia" w:ascii="宋体" w:hAnsi="宋体"/>
                <w:sz w:val="24"/>
              </w:rPr>
              <w:t>2019年1月，华润江中制药集团有限责任公司（以下简称华润江中）通过增资方式完成对桑海制药、济生制药的收购，实现了整合江西省中医药产业资源，丰富公司产品结构的目标；同年3月，华润医药完成对华润江中的增资控股，并正式更名为华润江中制药集团有限责任公司。</w:t>
            </w:r>
          </w:p>
          <w:p w14:paraId="2F9443D8">
            <w:pPr>
              <w:widowControl/>
              <w:adjustRightInd w:val="0"/>
              <w:snapToGrid w:val="0"/>
              <w:ind w:firstLine="480" w:firstLineChars="200"/>
              <w:rPr>
                <w:rFonts w:ascii="宋体" w:hAnsi="宋体"/>
                <w:sz w:val="24"/>
              </w:rPr>
            </w:pPr>
            <w:r>
              <w:rPr>
                <w:rFonts w:hint="eastAsia" w:ascii="宋体" w:hAnsi="宋体"/>
                <w:sz w:val="24"/>
              </w:rPr>
              <w:t>为实现华润江中中医药上游产业延伸，争取江西省内业务试点许可及投资优惠政策扶持，完成上游业务战略布局，推动企业内生增长+外延并购式战略实施及跨越式发展，华润江中以控股子公司桑海制药、济生制药为主体成立新平台公司“江西江中济海制药有限责任公司”，负责启动实施中医药科创城项目，对桑海制药、济生制药技改搬迁项目进行一体化规划设计，避免重复投资建设、提高资源使用率，规避项目在土地购置、产权归属、施工招标等方面存在难题。与此同时，通过新平台公司推进桑海制药、济生制药与华润江中的协同，完成两家企业销售、制造业务的全面整合，实现企业资源共享、优势互补、降本增效。江西江中济海制药有限责任公司后于2022年12月29日办理注销登记，其相关业务由江西南昌济生制药有限责任公司承继（见附件3注销公告）。</w:t>
            </w:r>
          </w:p>
          <w:p w14:paraId="7B24F21A">
            <w:pPr>
              <w:widowControl/>
              <w:adjustRightInd w:val="0"/>
              <w:snapToGrid w:val="0"/>
              <w:ind w:firstLine="480" w:firstLineChars="200"/>
              <w:rPr>
                <w:rFonts w:ascii="仿宋" w:hAnsi="仿宋" w:eastAsia="仿宋_GB2312"/>
                <w:sz w:val="28"/>
                <w:szCs w:val="28"/>
              </w:rPr>
            </w:pPr>
            <w:r>
              <w:rPr>
                <w:rFonts w:hint="eastAsia" w:ascii="宋体" w:hAnsi="宋体"/>
                <w:sz w:val="24"/>
              </w:rPr>
              <w:t>华润江中科创城现代中药生产基地一期工程项目总占面积约400亩，建筑面积约94533平方米，项目主要包括：固体制剂车间（含质检办公），液体制剂车间（含质检办公），库房，机修与五金库，危险品库，宿舍，食堂，动力中心，原药材库，前处理车间，环保站房等。项目建成投产后可形成片剂10亿片/年，胶囊剂13亿袋/年颗粒剂4亿袋/年，口服液5亿支/年，外用制剂0.001亿支/年生产能力。该项目于2021年09月23日取得赣江新区行政审批局下发的项目备案通知书（项目统一代码为：2020-360090-27-03-016932）。</w:t>
            </w:r>
          </w:p>
        </w:tc>
      </w:tr>
      <w:tr w14:paraId="2CE2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74059229">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22E95876">
            <w:pPr>
              <w:rPr>
                <w:rFonts w:ascii="宋体" w:hAnsi="宋体"/>
                <w:sz w:val="24"/>
              </w:rPr>
            </w:pPr>
            <w:r>
              <w:rPr>
                <w:rFonts w:hint="eastAsia" w:ascii="宋体" w:hAnsi="宋体"/>
                <w:sz w:val="24"/>
              </w:rPr>
              <w:t>雷化风、周剑鸣</w:t>
            </w:r>
          </w:p>
        </w:tc>
        <w:tc>
          <w:tcPr>
            <w:tcW w:w="523" w:type="dxa"/>
            <w:tcBorders>
              <w:top w:val="single" w:color="auto" w:sz="4" w:space="0"/>
              <w:left w:val="single" w:color="auto" w:sz="4" w:space="0"/>
              <w:bottom w:val="single" w:color="auto" w:sz="4" w:space="0"/>
              <w:right w:val="single" w:color="auto" w:sz="4" w:space="0"/>
            </w:tcBorders>
            <w:vAlign w:val="center"/>
          </w:tcPr>
          <w:p w14:paraId="38068357">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71AA2CAB">
            <w:pPr>
              <w:rPr>
                <w:rFonts w:ascii="宋体" w:hAnsi="宋体"/>
                <w:sz w:val="24"/>
              </w:rPr>
            </w:pPr>
            <w:r>
              <w:rPr>
                <w:rFonts w:hint="eastAsia" w:ascii="宋体" w:hAnsi="宋体"/>
                <w:sz w:val="24"/>
              </w:rPr>
              <w:t>20</w:t>
            </w:r>
            <w:r>
              <w:rPr>
                <w:rFonts w:ascii="宋体" w:hAnsi="宋体"/>
                <w:sz w:val="24"/>
              </w:rPr>
              <w:t>24</w:t>
            </w:r>
            <w:r>
              <w:rPr>
                <w:rFonts w:hint="eastAsia" w:ascii="宋体" w:hAnsi="宋体"/>
                <w:sz w:val="24"/>
              </w:rPr>
              <w:t>年</w:t>
            </w:r>
            <w:r>
              <w:rPr>
                <w:rFonts w:ascii="宋体" w:hAnsi="宋体"/>
                <w:sz w:val="24"/>
              </w:rPr>
              <w:t>05</w:t>
            </w:r>
            <w:r>
              <w:rPr>
                <w:rFonts w:hint="eastAsia" w:ascii="宋体" w:hAnsi="宋体"/>
                <w:sz w:val="24"/>
              </w:rPr>
              <w:t>月</w:t>
            </w:r>
            <w:r>
              <w:rPr>
                <w:rFonts w:ascii="宋体" w:hAnsi="宋体"/>
                <w:sz w:val="24"/>
              </w:rPr>
              <w:t>14</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42DDE2E">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2F6DE81F">
            <w:pPr>
              <w:rPr>
                <w:rFonts w:ascii="宋体" w:hAnsi="宋体"/>
                <w:sz w:val="24"/>
              </w:rPr>
            </w:pPr>
            <w:r>
              <w:rPr>
                <w:rFonts w:hint="eastAsia" w:ascii="宋体" w:hAnsi="宋体"/>
                <w:sz w:val="24"/>
              </w:rPr>
              <w:t>雷大海</w:t>
            </w:r>
          </w:p>
        </w:tc>
      </w:tr>
      <w:tr w14:paraId="478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FB9E4C6">
            <w:pPr>
              <w:jc w:val="center"/>
              <w:rPr>
                <w:b/>
                <w:kern w:val="0"/>
                <w:sz w:val="24"/>
                <w:highlight w:val="none"/>
              </w:rPr>
            </w:pPr>
            <w:r>
              <w:rPr>
                <w:rFonts w:hint="eastAsia"/>
                <w:b/>
                <w:color w:val="333333"/>
                <w:kern w:val="0"/>
                <w:sz w:val="24"/>
                <w:highlight w:val="none"/>
              </w:rPr>
              <w:t>现场</w:t>
            </w:r>
            <w:r>
              <w:rPr>
                <w:rFonts w:hint="eastAsia"/>
                <w:b/>
                <w:kern w:val="0"/>
                <w:sz w:val="24"/>
                <w:highlight w:val="none"/>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44D230F3">
            <w:pPr>
              <w:rPr>
                <w:rFonts w:hint="eastAsia" w:ascii="宋体" w:hAnsi="宋体" w:eastAsia="宋体"/>
                <w:sz w:val="24"/>
                <w:highlight w:val="none"/>
                <w:lang w:eastAsia="zh-CN"/>
              </w:rPr>
            </w:pPr>
            <w:r>
              <w:rPr>
                <w:rFonts w:hint="eastAsia" w:ascii="宋体" w:hAnsi="宋体"/>
                <w:sz w:val="24"/>
                <w:highlight w:val="none"/>
              </w:rPr>
              <w:t>谢昌明、熊瑞、邬</w:t>
            </w:r>
            <w:r>
              <w:rPr>
                <w:rFonts w:hint="eastAsia" w:ascii="宋体" w:hAnsi="宋体"/>
                <w:sz w:val="24"/>
                <w:highlight w:val="none"/>
                <w:lang w:eastAsia="zh-CN"/>
              </w:rPr>
              <w:t>仕</w:t>
            </w:r>
            <w:r>
              <w:rPr>
                <w:rFonts w:hint="eastAsia" w:ascii="宋体" w:hAnsi="宋体"/>
                <w:sz w:val="24"/>
                <w:highlight w:val="none"/>
              </w:rPr>
              <w:t>杰、仇</w:t>
            </w:r>
            <w:r>
              <w:rPr>
                <w:rFonts w:hint="eastAsia" w:ascii="宋体" w:hAnsi="宋体"/>
                <w:sz w:val="24"/>
                <w:highlight w:val="none"/>
                <w:lang w:eastAsia="zh-CN"/>
              </w:rPr>
              <w:t>伟</w:t>
            </w:r>
          </w:p>
        </w:tc>
        <w:tc>
          <w:tcPr>
            <w:tcW w:w="523" w:type="dxa"/>
            <w:tcBorders>
              <w:top w:val="single" w:color="auto" w:sz="4" w:space="0"/>
              <w:left w:val="single" w:color="auto" w:sz="4" w:space="0"/>
              <w:bottom w:val="single" w:color="auto" w:sz="4" w:space="0"/>
              <w:right w:val="single" w:color="auto" w:sz="4" w:space="0"/>
            </w:tcBorders>
            <w:vAlign w:val="center"/>
          </w:tcPr>
          <w:p w14:paraId="38552138">
            <w:pPr>
              <w:jc w:val="center"/>
              <w:rPr>
                <w:b/>
                <w:color w:val="000000"/>
                <w:kern w:val="0"/>
                <w:sz w:val="24"/>
                <w:highlight w:val="none"/>
              </w:rPr>
            </w:pPr>
            <w:r>
              <w:rPr>
                <w:rFonts w:hint="eastAsia"/>
                <w:b/>
                <w:color w:val="000000"/>
                <w:kern w:val="0"/>
                <w:sz w:val="24"/>
                <w:highlight w:val="none"/>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3846F4E7">
            <w:pPr>
              <w:rPr>
                <w:rFonts w:ascii="宋体" w:hAnsi="宋体"/>
                <w:sz w:val="24"/>
                <w:highlight w:val="none"/>
              </w:rPr>
            </w:pPr>
            <w:r>
              <w:rPr>
                <w:rFonts w:hint="eastAsia" w:ascii="宋体" w:hAnsi="宋体"/>
                <w:sz w:val="24"/>
                <w:highlight w:val="none"/>
              </w:rPr>
              <w:t>202</w:t>
            </w:r>
            <w:r>
              <w:rPr>
                <w:rFonts w:ascii="宋体" w:hAnsi="宋体"/>
                <w:sz w:val="24"/>
                <w:highlight w:val="none"/>
              </w:rPr>
              <w:t>4</w:t>
            </w:r>
            <w:r>
              <w:rPr>
                <w:rFonts w:hint="eastAsia" w:ascii="宋体" w:hAnsi="宋体"/>
                <w:sz w:val="24"/>
                <w:highlight w:val="none"/>
              </w:rPr>
              <w:t>年5月</w:t>
            </w:r>
            <w:r>
              <w:rPr>
                <w:rFonts w:ascii="宋体" w:hAnsi="宋体"/>
                <w:sz w:val="24"/>
                <w:highlight w:val="none"/>
              </w:rPr>
              <w:t>23</w:t>
            </w:r>
            <w:r>
              <w:rPr>
                <w:rFonts w:hint="eastAsia" w:ascii="宋体" w:hAnsi="宋体"/>
                <w:sz w:val="24"/>
                <w:highlight w:val="none"/>
              </w:rPr>
              <w:t>日</w:t>
            </w:r>
            <w:r>
              <w:rPr>
                <w:rFonts w:ascii="宋体" w:hAnsi="宋体"/>
                <w:sz w:val="24"/>
                <w:highlight w:val="none"/>
              </w:rPr>
              <w:t>~5</w:t>
            </w:r>
            <w:r>
              <w:rPr>
                <w:rFonts w:hint="eastAsia" w:ascii="宋体" w:hAnsi="宋体"/>
                <w:sz w:val="24"/>
                <w:highlight w:val="none"/>
              </w:rPr>
              <w:t>月25日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AA55097">
            <w:pPr>
              <w:jc w:val="center"/>
              <w:rPr>
                <w:b/>
                <w:color w:val="000000"/>
                <w:kern w:val="0"/>
                <w:sz w:val="24"/>
                <w:highlight w:val="none"/>
              </w:rPr>
            </w:pPr>
            <w:r>
              <w:rPr>
                <w:rFonts w:hint="eastAsia"/>
                <w:b/>
                <w:color w:val="000000"/>
                <w:kern w:val="0"/>
                <w:sz w:val="24"/>
                <w:highlight w:val="none"/>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35CBAF1">
            <w:pPr>
              <w:rPr>
                <w:rFonts w:ascii="宋体" w:hAnsi="宋体"/>
                <w:sz w:val="24"/>
                <w:highlight w:val="none"/>
              </w:rPr>
            </w:pPr>
            <w:r>
              <w:rPr>
                <w:rFonts w:hint="eastAsia" w:ascii="宋体" w:hAnsi="宋体"/>
                <w:sz w:val="24"/>
                <w:highlight w:val="none"/>
              </w:rPr>
              <w:t>杨萱</w:t>
            </w:r>
          </w:p>
        </w:tc>
      </w:tr>
      <w:tr w14:paraId="3F4F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64C20921">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6C6D253">
            <w:pPr>
              <w:autoSpaceDE w:val="0"/>
              <w:autoSpaceDN w:val="0"/>
              <w:adjustRightInd w:val="0"/>
              <w:snapToGrid w:val="0"/>
              <w:ind w:firstLine="480" w:firstLineChars="200"/>
              <w:rPr>
                <w:rFonts w:ascii="宋体" w:hAnsi="宋体"/>
                <w:sz w:val="24"/>
              </w:rPr>
            </w:pPr>
            <w:r>
              <w:rPr>
                <w:rFonts w:hint="eastAsia" w:ascii="宋体" w:hAnsi="宋体"/>
                <w:sz w:val="24"/>
              </w:rPr>
              <w:t>主要职业病危害因素有：</w:t>
            </w:r>
            <w:r>
              <w:rPr>
                <w:rFonts w:hint="eastAsia" w:ascii="宋体" w:hAnsi="宋体"/>
                <w:bCs/>
                <w:sz w:val="24"/>
              </w:rPr>
              <w:t>噪声、高温、氢氧化钠、硫化氢、氨、盐酸、硫酸、正丁醇、甲醇、甲苯、丙酮、正己烷、三氯甲烷、乙腈、其他粉尘</w:t>
            </w:r>
            <w:r>
              <w:rPr>
                <w:rFonts w:hint="eastAsia" w:ascii="宋体" w:hAnsi="宋体"/>
                <w:sz w:val="24"/>
              </w:rPr>
              <w:t>。</w:t>
            </w:r>
          </w:p>
          <w:p w14:paraId="095C0DFE">
            <w:pPr>
              <w:autoSpaceDE w:val="0"/>
              <w:autoSpaceDN w:val="0"/>
              <w:adjustRightInd w:val="0"/>
              <w:snapToGrid w:val="0"/>
              <w:ind w:firstLine="480" w:firstLineChars="200"/>
              <w:rPr>
                <w:rFonts w:ascii="宋体" w:hAnsi="宋体"/>
                <w:sz w:val="24"/>
              </w:rPr>
            </w:pPr>
            <w:r>
              <w:rPr>
                <w:rFonts w:hint="eastAsia" w:ascii="宋体" w:hAnsi="宋体"/>
                <w:sz w:val="24"/>
              </w:rPr>
              <w:t>检测结果：水提车间前处理工、粉碎工，颗粒剂车间粉碎工个体噪声强度超标，胶囊车间填充、铝塑包装，片剂车间压片、内包，液体制剂车间洗瓶、外壁、灌装共7个岗位噪声强度超标；水提车间前处理工接触的个体粉尘浓度超标，洗切室粉碎机、切断机作业位定点短时间粉尘浓度超标。其余所检</w:t>
            </w:r>
            <w:r>
              <w:rPr>
                <w:rFonts w:ascii="宋体" w:hAnsi="宋体"/>
                <w:sz w:val="24"/>
              </w:rPr>
              <w:t>职业病危害因素符合职业接触限值要求。</w:t>
            </w:r>
          </w:p>
        </w:tc>
      </w:tr>
      <w:tr w14:paraId="4AB7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14:paraId="2986DD52">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3A88A7D">
            <w:pPr>
              <w:autoSpaceDE w:val="0"/>
              <w:autoSpaceDN w:val="0"/>
              <w:adjustRightInd w:val="0"/>
              <w:snapToGrid w:val="0"/>
              <w:ind w:firstLine="480" w:firstLineChars="200"/>
              <w:rPr>
                <w:rFonts w:ascii="宋体" w:hAnsi="宋体"/>
                <w:sz w:val="24"/>
              </w:rPr>
            </w:pPr>
            <w:r>
              <w:rPr>
                <w:rFonts w:ascii="宋体" w:hAnsi="宋体"/>
                <w:sz w:val="24"/>
              </w:rPr>
              <w:t>该项目属于</w:t>
            </w:r>
            <w:r>
              <w:rPr>
                <w:rFonts w:hint="eastAsia" w:ascii="宋体" w:hAnsi="宋体"/>
                <w:sz w:val="24"/>
              </w:rPr>
              <w:t>“</w:t>
            </w:r>
            <w:r>
              <w:rPr>
                <w:rFonts w:hint="eastAsia" w:ascii="宋体" w:hAnsi="宋体"/>
                <w:bCs/>
                <w:sz w:val="24"/>
              </w:rPr>
              <w:t>医药制造业——中成药生产（C274）</w:t>
            </w:r>
            <w:r>
              <w:rPr>
                <w:rFonts w:hint="eastAsia" w:ascii="宋体" w:hAnsi="宋体"/>
                <w:sz w:val="24"/>
              </w:rPr>
              <w:t>”</w:t>
            </w:r>
            <w:r>
              <w:rPr>
                <w:rFonts w:ascii="宋体" w:hAnsi="宋体"/>
                <w:sz w:val="24"/>
              </w:rPr>
              <w:t>。根据《</w:t>
            </w:r>
            <w:r>
              <w:rPr>
                <w:rFonts w:hint="eastAsia" w:ascii="宋体" w:hAnsi="宋体"/>
                <w:sz w:val="24"/>
              </w:rPr>
              <w:t>国家</w:t>
            </w:r>
            <w:r>
              <w:rPr>
                <w:rFonts w:ascii="宋体" w:hAnsi="宋体"/>
                <w:sz w:val="24"/>
              </w:rPr>
              <w:t>卫生健康委办公厅关于公布建设项目职业病危害风险分类管理目录的通知》（</w:t>
            </w:r>
            <w:r>
              <w:rPr>
                <w:rFonts w:hint="eastAsia" w:ascii="宋体" w:hAnsi="宋体"/>
                <w:sz w:val="24"/>
              </w:rPr>
              <w:t>国卫</w:t>
            </w:r>
            <w:r>
              <w:rPr>
                <w:rFonts w:ascii="宋体" w:hAnsi="宋体"/>
                <w:sz w:val="24"/>
              </w:rPr>
              <w:t>办职</w:t>
            </w:r>
            <w:r>
              <w:rPr>
                <w:rFonts w:hint="eastAsia" w:ascii="宋体" w:hAnsi="宋体"/>
                <w:sz w:val="24"/>
              </w:rPr>
              <w:t>健</w:t>
            </w:r>
            <w:r>
              <w:rPr>
                <w:rFonts w:ascii="宋体" w:hAnsi="宋体"/>
                <w:sz w:val="24"/>
              </w:rPr>
              <w:t>发〔2021〕5号）</w:t>
            </w:r>
            <w:r>
              <w:rPr>
                <w:rFonts w:hint="eastAsia" w:ascii="宋体" w:hAnsi="宋体"/>
                <w:sz w:val="24"/>
              </w:rPr>
              <w:t>的</w:t>
            </w:r>
            <w:r>
              <w:rPr>
                <w:rFonts w:ascii="宋体" w:hAnsi="宋体"/>
                <w:sz w:val="24"/>
              </w:rPr>
              <w:t>规定，</w:t>
            </w:r>
            <w:r>
              <w:rPr>
                <w:rFonts w:hint="eastAsia" w:ascii="宋体" w:hAnsi="宋体"/>
                <w:sz w:val="24"/>
              </w:rPr>
              <w:t>为</w:t>
            </w:r>
            <w:r>
              <w:rPr>
                <w:rFonts w:ascii="宋体" w:hAnsi="宋体"/>
                <w:b/>
                <w:sz w:val="24"/>
              </w:rPr>
              <w:t>职业病危害风险</w:t>
            </w:r>
            <w:r>
              <w:rPr>
                <w:rFonts w:hint="eastAsia" w:ascii="宋体" w:hAnsi="宋体"/>
                <w:b/>
                <w:sz w:val="24"/>
              </w:rPr>
              <w:t>分类</w:t>
            </w:r>
            <w:r>
              <w:rPr>
                <w:rFonts w:ascii="宋体" w:hAnsi="宋体"/>
                <w:b/>
                <w:sz w:val="24"/>
              </w:rPr>
              <w:t>“</w:t>
            </w:r>
            <w:r>
              <w:rPr>
                <w:rFonts w:hint="eastAsia" w:ascii="宋体" w:hAnsi="宋体"/>
                <w:b/>
                <w:sz w:val="24"/>
              </w:rPr>
              <w:t>一般</w:t>
            </w:r>
            <w:r>
              <w:rPr>
                <w:rFonts w:ascii="宋体" w:hAnsi="宋体"/>
                <w:b/>
                <w:sz w:val="24"/>
              </w:rPr>
              <w:t>”</w:t>
            </w:r>
            <w:r>
              <w:rPr>
                <w:rFonts w:ascii="宋体" w:hAnsi="宋体"/>
                <w:sz w:val="24"/>
              </w:rPr>
              <w:t>的建设项目。</w:t>
            </w:r>
          </w:p>
          <w:p w14:paraId="598811EE">
            <w:pPr>
              <w:autoSpaceDE w:val="0"/>
              <w:autoSpaceDN w:val="0"/>
              <w:adjustRightInd w:val="0"/>
              <w:snapToGrid w:val="0"/>
              <w:ind w:firstLine="480" w:firstLineChars="200"/>
              <w:rPr>
                <w:rFonts w:ascii="宋体" w:hAnsi="宋体"/>
                <w:sz w:val="24"/>
              </w:rPr>
            </w:pPr>
            <w:r>
              <w:rPr>
                <w:rFonts w:hint="eastAsia" w:ascii="宋体" w:hAnsi="宋体"/>
                <w:sz w:val="24"/>
              </w:rPr>
              <w:t>江西南昌济生制药有限责任公司华润江中科创城现代中药生产基地一期工程当前</w:t>
            </w:r>
            <w:r>
              <w:rPr>
                <w:rFonts w:ascii="宋体" w:hAnsi="宋体"/>
                <w:sz w:val="24"/>
              </w:rPr>
              <w:t>执行了我国职业卫生相关法律、法规、规范标准，针对职业病危害因素采取了相应的职业病防护措施，防护效果</w:t>
            </w:r>
            <w:r>
              <w:rPr>
                <w:rFonts w:hint="eastAsia" w:ascii="宋体" w:hAnsi="宋体"/>
                <w:sz w:val="24"/>
              </w:rPr>
              <w:t>较</w:t>
            </w:r>
            <w:r>
              <w:rPr>
                <w:rFonts w:ascii="宋体" w:hAnsi="宋体"/>
                <w:sz w:val="24"/>
              </w:rPr>
              <w:t>好</w:t>
            </w:r>
            <w:r>
              <w:rPr>
                <w:rFonts w:hint="eastAsia" w:ascii="宋体" w:hAnsi="宋体"/>
                <w:sz w:val="24"/>
              </w:rPr>
              <w:t>，</w:t>
            </w:r>
            <w:r>
              <w:rPr>
                <w:rFonts w:ascii="宋体" w:hAnsi="宋体"/>
                <w:sz w:val="24"/>
              </w:rPr>
              <w:t>能够满足国家和地方对职业病防治方面法律、法规、标准的要求。</w:t>
            </w:r>
          </w:p>
        </w:tc>
      </w:tr>
      <w:tr w14:paraId="4399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28790280">
            <w:pPr>
              <w:jc w:val="center"/>
              <w:rPr>
                <w:b/>
                <w:kern w:val="0"/>
                <w:sz w:val="24"/>
              </w:rPr>
            </w:pPr>
            <w:r>
              <w:rPr>
                <w:rFonts w:hint="eastAsia"/>
                <w:b/>
                <w:kern w:val="0"/>
                <w:sz w:val="24"/>
              </w:rPr>
              <w:t>技术审查专家组</w:t>
            </w:r>
          </w:p>
          <w:p w14:paraId="7C13B2F6">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61EA7A4">
            <w:pPr>
              <w:rPr>
                <w:rFonts w:ascii="宋体" w:hAnsi="宋体"/>
                <w:sz w:val="24"/>
              </w:rPr>
            </w:pPr>
            <w:r>
              <w:rPr>
                <w:rFonts w:hint="eastAsia" w:ascii="宋体" w:hAnsi="宋体"/>
                <w:sz w:val="24"/>
              </w:rPr>
              <w:t>（1）细化重点</w:t>
            </w:r>
            <w:r>
              <w:rPr>
                <w:rFonts w:ascii="宋体" w:hAnsi="宋体"/>
                <w:sz w:val="24"/>
              </w:rPr>
              <w:t>评价因子确定依据的说明</w:t>
            </w:r>
          </w:p>
          <w:p w14:paraId="1F38A2FF">
            <w:pPr>
              <w:rPr>
                <w:rFonts w:ascii="宋体" w:hAnsi="宋体"/>
                <w:sz w:val="24"/>
              </w:rPr>
            </w:pPr>
            <w:r>
              <w:rPr>
                <w:rFonts w:hint="eastAsia" w:ascii="宋体" w:hAnsi="宋体"/>
                <w:sz w:val="24"/>
              </w:rPr>
              <w:t>（2）完善职业病</w:t>
            </w:r>
            <w:r>
              <w:rPr>
                <w:rFonts w:ascii="宋体" w:hAnsi="宋体"/>
                <w:sz w:val="24"/>
              </w:rPr>
              <w:t>危害因素超标原因分析与评价</w:t>
            </w:r>
          </w:p>
          <w:p w14:paraId="41FDE5D0">
            <w:pPr>
              <w:rPr>
                <w:rFonts w:ascii="宋体" w:hAnsi="宋体"/>
                <w:sz w:val="24"/>
              </w:rPr>
            </w:pPr>
            <w:r>
              <w:rPr>
                <w:rFonts w:hint="eastAsia" w:ascii="宋体" w:hAnsi="宋体"/>
                <w:sz w:val="24"/>
              </w:rPr>
              <w:t>（3）完善前处理</w:t>
            </w:r>
            <w:r>
              <w:rPr>
                <w:rFonts w:ascii="宋体" w:hAnsi="宋体"/>
                <w:sz w:val="24"/>
              </w:rPr>
              <w:t>生产工艺调查与评价</w:t>
            </w:r>
          </w:p>
          <w:p w14:paraId="2A76A7FB">
            <w:pPr>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）专家组</w:t>
            </w:r>
            <w:r>
              <w:rPr>
                <w:rFonts w:ascii="宋体" w:hAnsi="宋体"/>
                <w:sz w:val="24"/>
              </w:rPr>
              <w:t>提出的其他意见</w:t>
            </w:r>
          </w:p>
          <w:p w14:paraId="33896299">
            <w:pPr>
              <w:rPr>
                <w:color w:val="000000"/>
                <w:kern w:val="0"/>
                <w:sz w:val="24"/>
              </w:rPr>
            </w:pPr>
            <w:r>
              <w:rPr>
                <w:rFonts w:hint="eastAsia" w:ascii="宋体" w:hAnsi="宋体"/>
                <w:sz w:val="24"/>
              </w:rPr>
              <w:t>对存在问题修改完善，经</w:t>
            </w:r>
            <w:r>
              <w:rPr>
                <w:rFonts w:ascii="宋体" w:hAnsi="宋体"/>
                <w:sz w:val="24"/>
              </w:rPr>
              <w:t>专家组复核、组长签字确认后</w:t>
            </w:r>
            <w:r>
              <w:rPr>
                <w:rFonts w:hint="eastAsia" w:ascii="宋体" w:hAnsi="宋体"/>
                <w:sz w:val="24"/>
              </w:rPr>
              <w:t>，建议《控评报告》通过评审。</w:t>
            </w:r>
          </w:p>
        </w:tc>
      </w:tr>
    </w:tbl>
    <w:p w14:paraId="35BB0DBB">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83B9B"/>
    <w:rsid w:val="000E58D6"/>
    <w:rsid w:val="000F16E7"/>
    <w:rsid w:val="000F41D1"/>
    <w:rsid w:val="001D783C"/>
    <w:rsid w:val="001E2B31"/>
    <w:rsid w:val="001E7E91"/>
    <w:rsid w:val="00201ABB"/>
    <w:rsid w:val="002137CE"/>
    <w:rsid w:val="00222EAF"/>
    <w:rsid w:val="00267723"/>
    <w:rsid w:val="002C6025"/>
    <w:rsid w:val="0036720B"/>
    <w:rsid w:val="0038593C"/>
    <w:rsid w:val="003B3E4B"/>
    <w:rsid w:val="003C6F2B"/>
    <w:rsid w:val="00481067"/>
    <w:rsid w:val="004B1BB3"/>
    <w:rsid w:val="005C5543"/>
    <w:rsid w:val="006324CB"/>
    <w:rsid w:val="006C6F15"/>
    <w:rsid w:val="00715B68"/>
    <w:rsid w:val="00785F19"/>
    <w:rsid w:val="007E0A4D"/>
    <w:rsid w:val="008C17E3"/>
    <w:rsid w:val="00996E62"/>
    <w:rsid w:val="009B057E"/>
    <w:rsid w:val="00A31BE6"/>
    <w:rsid w:val="00AF1756"/>
    <w:rsid w:val="00BE5EB2"/>
    <w:rsid w:val="00C556E3"/>
    <w:rsid w:val="00D478EA"/>
    <w:rsid w:val="00E90E30"/>
    <w:rsid w:val="00EF5425"/>
    <w:rsid w:val="00F6182C"/>
    <w:rsid w:val="00F839D9"/>
    <w:rsid w:val="00FA0434"/>
    <w:rsid w:val="07317033"/>
    <w:rsid w:val="10497F5C"/>
    <w:rsid w:val="12D43CA8"/>
    <w:rsid w:val="209549B2"/>
    <w:rsid w:val="22047891"/>
    <w:rsid w:val="2288631C"/>
    <w:rsid w:val="29135144"/>
    <w:rsid w:val="2C415F37"/>
    <w:rsid w:val="2E103562"/>
    <w:rsid w:val="35A24AE6"/>
    <w:rsid w:val="3F3A2EF7"/>
    <w:rsid w:val="4A973AA3"/>
    <w:rsid w:val="4B665A18"/>
    <w:rsid w:val="643031FF"/>
    <w:rsid w:val="6D1D15AD"/>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15" w:lineRule="auto"/>
      <w:outlineLvl w:val="1"/>
    </w:pPr>
    <w:rPr>
      <w:rFonts w:ascii="Arial" w:hAnsi="Arial" w:eastAsia="黑体"/>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1474</Words>
  <Characters>1559</Characters>
  <Lines>11</Lines>
  <Paragraphs>3</Paragraphs>
  <TotalTime>103</TotalTime>
  <ScaleCrop>false</ScaleCrop>
  <LinksUpToDate>false</LinksUpToDate>
  <CharactersWithSpaces>1559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2024-10-31T07:06:12Z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07BA499D73364423B2DDCD39067A8C3B_12</vt:lpwstr>
  </property>
</Properties>
</file>